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7A0" w:rsidRPr="00111352" w:rsidRDefault="00D017A0" w:rsidP="00384192">
      <w:pPr>
        <w:autoSpaceDE w:val="0"/>
        <w:autoSpaceDN w:val="0"/>
        <w:adjustRightInd w:val="0"/>
        <w:spacing w:line="240" w:lineRule="auto"/>
        <w:ind w:left="3261" w:firstLine="0"/>
        <w:rPr>
          <w:rFonts w:cs="Arial"/>
          <w:b/>
          <w:bCs/>
          <w:caps/>
          <w:szCs w:val="28"/>
          <w:lang w:val="es-ES_tradnl"/>
        </w:rPr>
      </w:pPr>
      <w:bookmarkStart w:id="0" w:name="_GoBack"/>
      <w:bookmarkEnd w:id="0"/>
      <w:r w:rsidRPr="00111352">
        <w:rPr>
          <w:rFonts w:cs="Arial"/>
          <w:b/>
          <w:bCs/>
          <w:caps/>
          <w:szCs w:val="28"/>
          <w:lang w:val="es-ES_tradnl"/>
        </w:rPr>
        <w:t xml:space="preserve">ACCIÓN DE INCONSTITUCIONALIDAD </w:t>
      </w:r>
      <w:r w:rsidR="004164CC" w:rsidRPr="00111352">
        <w:rPr>
          <w:rFonts w:cs="Arial"/>
          <w:b/>
          <w:bCs/>
          <w:caps/>
          <w:szCs w:val="28"/>
          <w:lang w:val="es-ES_tradnl"/>
        </w:rPr>
        <w:t>135/2020</w:t>
      </w:r>
      <w:r w:rsidRPr="00111352">
        <w:rPr>
          <w:rFonts w:cs="Arial"/>
          <w:b/>
          <w:bCs/>
          <w:caps/>
          <w:szCs w:val="28"/>
          <w:lang w:val="es-ES_tradnl"/>
        </w:rPr>
        <w:t xml:space="preserve"> Y SU ACUMULADA</w:t>
      </w:r>
      <w:r w:rsidR="004164CC" w:rsidRPr="00111352">
        <w:rPr>
          <w:rFonts w:cs="Arial"/>
          <w:b/>
          <w:bCs/>
          <w:caps/>
          <w:szCs w:val="28"/>
          <w:lang w:val="es-ES_tradnl"/>
        </w:rPr>
        <w:t xml:space="preserve"> 138/2020</w:t>
      </w:r>
    </w:p>
    <w:p w:rsidR="00D017A0" w:rsidRPr="00111352" w:rsidRDefault="004164CC" w:rsidP="00384192">
      <w:pPr>
        <w:autoSpaceDE w:val="0"/>
        <w:autoSpaceDN w:val="0"/>
        <w:adjustRightInd w:val="0"/>
        <w:spacing w:line="240" w:lineRule="auto"/>
        <w:ind w:left="3261" w:firstLine="0"/>
        <w:rPr>
          <w:rFonts w:cs="Arial"/>
          <w:b/>
          <w:bCs/>
          <w:caps/>
          <w:szCs w:val="28"/>
          <w:lang w:val="es-ES_tradnl"/>
        </w:rPr>
      </w:pPr>
      <w:r w:rsidRPr="00111352">
        <w:rPr>
          <w:rFonts w:cs="Arial"/>
          <w:b/>
          <w:bCs/>
          <w:caps/>
          <w:szCs w:val="28"/>
          <w:lang w:val="es-ES_tradnl"/>
        </w:rPr>
        <w:t>PROMOVENTE</w:t>
      </w:r>
      <w:r w:rsidR="00D017A0" w:rsidRPr="00111352">
        <w:rPr>
          <w:rFonts w:cs="Arial"/>
          <w:b/>
          <w:bCs/>
          <w:caps/>
          <w:szCs w:val="28"/>
          <w:lang w:val="es-ES_tradnl"/>
        </w:rPr>
        <w:t xml:space="preserve">: </w:t>
      </w:r>
      <w:r w:rsidRPr="00111352">
        <w:rPr>
          <w:rFonts w:cs="Arial"/>
          <w:b/>
          <w:bCs/>
          <w:caps/>
          <w:szCs w:val="28"/>
          <w:lang w:val="es-ES_tradnl"/>
        </w:rPr>
        <w:t>PARTIdo sinaloense</w:t>
      </w:r>
    </w:p>
    <w:p w:rsidR="00384192" w:rsidRDefault="00384192" w:rsidP="00384192">
      <w:pPr>
        <w:spacing w:line="240" w:lineRule="auto"/>
        <w:ind w:right="-660" w:firstLine="0"/>
        <w:rPr>
          <w:rFonts w:cs="Arial"/>
          <w:b/>
          <w:bCs/>
          <w:szCs w:val="28"/>
        </w:rPr>
      </w:pPr>
    </w:p>
    <w:p w:rsidR="00384192" w:rsidRDefault="00384192" w:rsidP="00384192">
      <w:pPr>
        <w:spacing w:line="240" w:lineRule="auto"/>
        <w:ind w:right="-660" w:firstLine="0"/>
        <w:rPr>
          <w:b/>
          <w:szCs w:val="28"/>
        </w:rPr>
      </w:pPr>
    </w:p>
    <w:p w:rsidR="00D017A0" w:rsidRPr="00111352" w:rsidRDefault="00111352" w:rsidP="00384192">
      <w:pPr>
        <w:spacing w:line="240" w:lineRule="auto"/>
        <w:ind w:right="-660" w:firstLine="0"/>
        <w:rPr>
          <w:b/>
          <w:szCs w:val="28"/>
        </w:rPr>
      </w:pPr>
      <w:r w:rsidRPr="00111352">
        <w:rPr>
          <w:b/>
          <w:szCs w:val="28"/>
        </w:rPr>
        <w:t>MINISTRO PONENTE: JOSÉ FERNANDO FRANCO GONZÁLEZ SALAS</w:t>
      </w:r>
    </w:p>
    <w:p w:rsidR="00FA77A9" w:rsidRPr="00111352" w:rsidRDefault="00111352" w:rsidP="00384192">
      <w:pPr>
        <w:spacing w:line="240" w:lineRule="auto"/>
        <w:ind w:firstLine="0"/>
        <w:rPr>
          <w:b/>
          <w:bCs/>
          <w:caps/>
          <w:szCs w:val="28"/>
        </w:rPr>
      </w:pPr>
      <w:r w:rsidRPr="00111352">
        <w:rPr>
          <w:b/>
          <w:bCs/>
          <w:szCs w:val="28"/>
        </w:rPr>
        <w:t xml:space="preserve">SECRETARIO: SALVADOR ALVARADO LÓPEZ </w:t>
      </w:r>
    </w:p>
    <w:p w:rsidR="00C346AE" w:rsidRPr="00111352" w:rsidRDefault="00111352" w:rsidP="00384192">
      <w:pPr>
        <w:spacing w:line="240" w:lineRule="auto"/>
        <w:ind w:firstLine="0"/>
        <w:rPr>
          <w:b/>
          <w:bCs/>
          <w:caps/>
          <w:szCs w:val="28"/>
        </w:rPr>
      </w:pPr>
      <w:r w:rsidRPr="00111352">
        <w:rPr>
          <w:b/>
          <w:bCs/>
          <w:szCs w:val="28"/>
        </w:rPr>
        <w:t>COLABORÓ: JORGE MAURICIO HERNÁNDEZ FARÍAS</w:t>
      </w:r>
    </w:p>
    <w:p w:rsidR="00767FCE" w:rsidRPr="008D4992" w:rsidRDefault="00767FCE" w:rsidP="00384192">
      <w:pPr>
        <w:rPr>
          <w:rFonts w:cs="Arial"/>
          <w:szCs w:val="28"/>
          <w:lang w:val="es-ES_tradnl"/>
        </w:rPr>
      </w:pPr>
    </w:p>
    <w:p w:rsidR="00D017A0" w:rsidRDefault="00566F2A" w:rsidP="00384192">
      <w:pPr>
        <w:autoSpaceDE w:val="0"/>
        <w:autoSpaceDN w:val="0"/>
        <w:adjustRightInd w:val="0"/>
        <w:rPr>
          <w:rFonts w:cs="Arial"/>
          <w:szCs w:val="28"/>
          <w:lang w:val="es-ES_tradnl"/>
        </w:rPr>
      </w:pPr>
      <w:r>
        <w:rPr>
          <w:rFonts w:cs="Arial"/>
          <w:szCs w:val="28"/>
          <w:lang w:val="es-ES_tradnl"/>
        </w:rPr>
        <w:t>Ciudad de México</w:t>
      </w:r>
      <w:r w:rsidR="00D017A0" w:rsidRPr="008D4992">
        <w:rPr>
          <w:rFonts w:cs="Arial"/>
          <w:szCs w:val="28"/>
          <w:lang w:val="es-ES_tradnl"/>
        </w:rPr>
        <w:t xml:space="preserve">. Acuerdo del Tribunal Pleno de la Suprema Corte de Justicia de la Nación, correspondiente </w:t>
      </w:r>
      <w:r w:rsidR="00FA77A9" w:rsidRPr="008D4992">
        <w:rPr>
          <w:rFonts w:cs="Arial"/>
          <w:szCs w:val="28"/>
          <w:lang w:val="es-ES_tradnl"/>
        </w:rPr>
        <w:t>al</w:t>
      </w:r>
      <w:r w:rsidR="00BB27E5" w:rsidRPr="008D4992">
        <w:rPr>
          <w:rFonts w:cs="Arial"/>
          <w:szCs w:val="28"/>
          <w:lang w:val="es-ES_tradnl"/>
        </w:rPr>
        <w:t xml:space="preserve"> </w:t>
      </w:r>
      <w:r w:rsidR="0063363A">
        <w:rPr>
          <w:rFonts w:cs="Arial"/>
          <w:szCs w:val="28"/>
          <w:lang w:val="es-ES_tradnl"/>
        </w:rPr>
        <w:t>veintisiete de octubre de dos mil veinte.</w:t>
      </w:r>
    </w:p>
    <w:p w:rsidR="00CC184D" w:rsidRDefault="00CC184D" w:rsidP="00384192">
      <w:pPr>
        <w:rPr>
          <w:lang w:val="es-ES_tradnl"/>
        </w:rPr>
      </w:pPr>
    </w:p>
    <w:p w:rsidR="00111352" w:rsidRPr="008D4992" w:rsidRDefault="00111352" w:rsidP="00384192">
      <w:pPr>
        <w:ind w:firstLine="0"/>
        <w:rPr>
          <w:b/>
        </w:rPr>
      </w:pPr>
      <w:r>
        <w:rPr>
          <w:b/>
        </w:rPr>
        <w:t>Cotejó</w:t>
      </w:r>
    </w:p>
    <w:p w:rsidR="001F112D" w:rsidRDefault="001F112D" w:rsidP="00384192">
      <w:pPr>
        <w:rPr>
          <w:b/>
          <w:bCs/>
        </w:rPr>
      </w:pPr>
    </w:p>
    <w:p w:rsidR="00111352" w:rsidRPr="009831A0" w:rsidRDefault="00111352" w:rsidP="00384192">
      <w:pPr>
        <w:rPr>
          <w:b/>
          <w:bCs/>
        </w:rPr>
      </w:pPr>
    </w:p>
    <w:p w:rsidR="00D017A0" w:rsidRPr="009831A0" w:rsidRDefault="00143D16" w:rsidP="00143D16">
      <w:pPr>
        <w:pStyle w:val="Ttulo1"/>
        <w:ind w:left="0" w:firstLine="0"/>
        <w:jc w:val="center"/>
      </w:pPr>
      <w:r>
        <w:t>V I S T O S</w:t>
      </w:r>
      <w:r w:rsidR="00D017A0" w:rsidRPr="009831A0">
        <w:t xml:space="preserve"> Y</w:t>
      </w:r>
    </w:p>
    <w:p w:rsidR="00D017A0" w:rsidRPr="008D4992" w:rsidRDefault="00770F67" w:rsidP="00143D16">
      <w:pPr>
        <w:pStyle w:val="Ttulo1"/>
        <w:ind w:left="0" w:firstLine="0"/>
        <w:jc w:val="center"/>
      </w:pPr>
      <w:r w:rsidRPr="008D4992">
        <w:t>R E S U L T A N D O</w:t>
      </w:r>
    </w:p>
    <w:p w:rsidR="00D017A0" w:rsidRPr="008D4992" w:rsidRDefault="00D017A0" w:rsidP="00384192">
      <w:pPr>
        <w:autoSpaceDE w:val="0"/>
        <w:autoSpaceDN w:val="0"/>
        <w:adjustRightInd w:val="0"/>
        <w:rPr>
          <w:rFonts w:cs="Arial"/>
          <w:szCs w:val="28"/>
        </w:rPr>
      </w:pPr>
    </w:p>
    <w:p w:rsidR="00D017A0" w:rsidRPr="000E0FE9" w:rsidRDefault="00E72DCD" w:rsidP="00384192">
      <w:pPr>
        <w:pStyle w:val="Ttulo2"/>
        <w:keepNext w:val="0"/>
        <w:keepLines w:val="0"/>
        <w:rPr>
          <w:b w:val="0"/>
        </w:rPr>
      </w:pPr>
      <w:r w:rsidRPr="00357B63">
        <w:t>PRIMERO.</w:t>
      </w:r>
      <w:r w:rsidR="000E0FE9" w:rsidRPr="00357B63">
        <w:t xml:space="preserve"> </w:t>
      </w:r>
      <w:r w:rsidR="00A669A3" w:rsidRPr="00357B63">
        <w:t>Presentación y admisión de las acciones de inconstitucionalidad</w:t>
      </w:r>
      <w:r w:rsidR="000E0FE9" w:rsidRPr="00357B63">
        <w:t xml:space="preserve">. </w:t>
      </w:r>
      <w:r w:rsidR="00D017A0" w:rsidRPr="00357B63">
        <w:t xml:space="preserve"> </w:t>
      </w:r>
      <w:r w:rsidR="00D017A0" w:rsidRPr="00357B63">
        <w:rPr>
          <w:b w:val="0"/>
        </w:rPr>
        <w:t xml:space="preserve">Por escritos recibidos </w:t>
      </w:r>
      <w:r w:rsidR="00B2248B" w:rsidRPr="00357B63">
        <w:rPr>
          <w:b w:val="0"/>
        </w:rPr>
        <w:t xml:space="preserve">vía electrónica </w:t>
      </w:r>
      <w:r w:rsidR="00FA77A9" w:rsidRPr="00357B63">
        <w:rPr>
          <w:b w:val="0"/>
        </w:rPr>
        <w:t>el</w:t>
      </w:r>
      <w:r w:rsidR="00B2248B" w:rsidRPr="00357B63">
        <w:rPr>
          <w:b w:val="0"/>
        </w:rPr>
        <w:t xml:space="preserve"> treinta de junio </w:t>
      </w:r>
      <w:r w:rsidR="00D758D4" w:rsidRPr="00357B63">
        <w:rPr>
          <w:b w:val="0"/>
        </w:rPr>
        <w:t xml:space="preserve">y seis de julio </w:t>
      </w:r>
      <w:r w:rsidR="00B2248B" w:rsidRPr="00357B63">
        <w:rPr>
          <w:b w:val="0"/>
        </w:rPr>
        <w:t>de dos mil veinte</w:t>
      </w:r>
      <w:r w:rsidR="00D017A0" w:rsidRPr="00357B63">
        <w:rPr>
          <w:b w:val="0"/>
        </w:rPr>
        <w:t xml:space="preserve">, </w:t>
      </w:r>
      <w:r w:rsidR="00B2248B" w:rsidRPr="00357B63">
        <w:rPr>
          <w:b w:val="0"/>
        </w:rPr>
        <w:t>Héctor Melesio Cuén Ojeda,</w:t>
      </w:r>
      <w:r w:rsidR="00770F67" w:rsidRPr="00357B63">
        <w:rPr>
          <w:b w:val="0"/>
        </w:rPr>
        <w:t xml:space="preserve"> </w:t>
      </w:r>
      <w:r w:rsidR="00B2248B" w:rsidRPr="00357B63">
        <w:rPr>
          <w:b w:val="0"/>
        </w:rPr>
        <w:t xml:space="preserve">Noé Quevedo Salazar y Jorge </w:t>
      </w:r>
      <w:proofErr w:type="spellStart"/>
      <w:r w:rsidR="00B2248B" w:rsidRPr="00357B63">
        <w:rPr>
          <w:b w:val="0"/>
        </w:rPr>
        <w:t>Amid</w:t>
      </w:r>
      <w:proofErr w:type="spellEnd"/>
      <w:r w:rsidR="00B2248B" w:rsidRPr="00357B63">
        <w:rPr>
          <w:b w:val="0"/>
        </w:rPr>
        <w:t xml:space="preserve"> Castellanos Navarro, </w:t>
      </w:r>
      <w:r w:rsidR="00FA77A9" w:rsidRPr="00357B63">
        <w:rPr>
          <w:b w:val="0"/>
        </w:rPr>
        <w:t>Presidente</w:t>
      </w:r>
      <w:r w:rsidR="00B2248B" w:rsidRPr="00357B63">
        <w:rPr>
          <w:b w:val="0"/>
        </w:rPr>
        <w:t>, Secretario de Asuntos Jurídicos y Secretario de Asuntos Indígenas del Comité Ejecutivo Estatal del Partido Sinaloense</w:t>
      </w:r>
      <w:r w:rsidR="00D017A0" w:rsidRPr="00357B63">
        <w:rPr>
          <w:b w:val="0"/>
        </w:rPr>
        <w:t xml:space="preserve">, </w:t>
      </w:r>
      <w:r w:rsidR="008934DE" w:rsidRPr="00357B63">
        <w:rPr>
          <w:b w:val="0"/>
        </w:rPr>
        <w:t xml:space="preserve">respectivamente, </w:t>
      </w:r>
      <w:r w:rsidR="00D017A0" w:rsidRPr="00357B63">
        <w:rPr>
          <w:b w:val="0"/>
        </w:rPr>
        <w:t xml:space="preserve">promovieron </w:t>
      </w:r>
      <w:r w:rsidR="00770F67" w:rsidRPr="00357B63">
        <w:rPr>
          <w:b w:val="0"/>
        </w:rPr>
        <w:t>sendas acciones</w:t>
      </w:r>
      <w:r w:rsidR="00D017A0" w:rsidRPr="00357B63">
        <w:rPr>
          <w:b w:val="0"/>
        </w:rPr>
        <w:t xml:space="preserve"> de inco</w:t>
      </w:r>
      <w:r w:rsidR="00770F67" w:rsidRPr="00357B63">
        <w:rPr>
          <w:b w:val="0"/>
        </w:rPr>
        <w:t>nstitucionalidad</w:t>
      </w:r>
      <w:r w:rsidR="00B2248B" w:rsidRPr="00357B63">
        <w:rPr>
          <w:b w:val="0"/>
        </w:rPr>
        <w:t xml:space="preserve"> (cuyo contenido es el mismo)</w:t>
      </w:r>
      <w:r w:rsidR="00D017A0" w:rsidRPr="00357B63">
        <w:rPr>
          <w:b w:val="0"/>
        </w:rPr>
        <w:t xml:space="preserve"> en la</w:t>
      </w:r>
      <w:r w:rsidR="00A05085" w:rsidRPr="00357B63">
        <w:rPr>
          <w:b w:val="0"/>
        </w:rPr>
        <w:t>s</w:t>
      </w:r>
      <w:r w:rsidR="00D017A0" w:rsidRPr="00357B63">
        <w:rPr>
          <w:b w:val="0"/>
        </w:rPr>
        <w:t xml:space="preserve"> qu</w:t>
      </w:r>
      <w:r w:rsidR="00523084" w:rsidRPr="00357B63">
        <w:rPr>
          <w:b w:val="0"/>
        </w:rPr>
        <w:t xml:space="preserve">e solicitaron la invalidez </w:t>
      </w:r>
      <w:r w:rsidR="000E0FE9" w:rsidRPr="00357B63">
        <w:rPr>
          <w:b w:val="0"/>
        </w:rPr>
        <w:t xml:space="preserve">de </w:t>
      </w:r>
      <w:r w:rsidR="00357B63" w:rsidRPr="00357B63">
        <w:rPr>
          <w:b w:val="0"/>
        </w:rPr>
        <w:t>varias</w:t>
      </w:r>
      <w:r w:rsidR="000E0FE9" w:rsidRPr="00357B63">
        <w:rPr>
          <w:b w:val="0"/>
        </w:rPr>
        <w:t xml:space="preserve"> disposiciones normativas</w:t>
      </w:r>
      <w:r w:rsidR="00357B63" w:rsidRPr="00357B63">
        <w:rPr>
          <w:b w:val="0"/>
        </w:rPr>
        <w:t xml:space="preserve"> en los términos textuales siguientes</w:t>
      </w:r>
      <w:r w:rsidR="0036201F">
        <w:rPr>
          <w:b w:val="0"/>
        </w:rPr>
        <w:t>:</w:t>
      </w:r>
    </w:p>
    <w:p w:rsidR="00384192" w:rsidRDefault="00384192" w:rsidP="00384192">
      <w:pPr>
        <w:pStyle w:val="corte5transcripcion"/>
        <w:rPr>
          <w:rFonts w:cs="Arial"/>
          <w:b/>
          <w:bCs/>
          <w:i/>
          <w:iCs/>
          <w:sz w:val="28"/>
          <w:szCs w:val="28"/>
          <w:lang w:val="es-ES_tradnl"/>
        </w:rPr>
      </w:pPr>
    </w:p>
    <w:p w:rsidR="00B2248B" w:rsidRDefault="00B2248B" w:rsidP="00384192">
      <w:pPr>
        <w:pStyle w:val="corte5transcripcion"/>
      </w:pPr>
      <w:r w:rsidRPr="00357B63">
        <w:t>Los artículos 18, segundo párrafo; 36, párrafos segundo y noveno; 80, párrafo segundo; 142, párrafo primero; 146, fracciones III y IV; 153 y 161; 79, párrafo segundo; 80, párrafo tercero; 146, fracción XXIV Bis, todos de la Ley de Instituciones y Procedimientos Electorales del Estado de Sinaloa, así como el artículo único transitorio del decreto No. 454, publicado en el Periódico Oficial 'El Estado de Sinaloa' No. 068 del 05 de junio del 2020 y los derogados párrafos tercero, cuarto, quinto, sexto y décimo al artículo 36 de la Ley de Instituciones y Procedimientos Electorales del Estado de Sinaloa.</w:t>
      </w:r>
    </w:p>
    <w:p w:rsidR="00384192" w:rsidRDefault="00384192" w:rsidP="00384192">
      <w:pPr>
        <w:autoSpaceDE w:val="0"/>
        <w:autoSpaceDN w:val="0"/>
        <w:adjustRightInd w:val="0"/>
        <w:rPr>
          <w:rFonts w:cs="Arial"/>
          <w:szCs w:val="28"/>
          <w:lang w:val="es-ES_tradnl"/>
        </w:rPr>
      </w:pPr>
    </w:p>
    <w:p w:rsidR="0063363A" w:rsidRDefault="0063363A" w:rsidP="003F4CF1">
      <w:pPr>
        <w:autoSpaceDE w:val="0"/>
        <w:autoSpaceDN w:val="0"/>
        <w:adjustRightInd w:val="0"/>
        <w:rPr>
          <w:rFonts w:cs="Arial"/>
          <w:szCs w:val="28"/>
          <w:lang w:val="es-ES_tradnl"/>
        </w:rPr>
      </w:pPr>
      <w:r w:rsidRPr="00CF6CFB">
        <w:rPr>
          <w:rFonts w:cs="Arial"/>
          <w:szCs w:val="28"/>
          <w:lang w:val="es-ES_tradnl"/>
        </w:rPr>
        <w:t xml:space="preserve">El partido demandante señaló como transgredidos los artículos 2º, apartado A, fracciones III y VII, apartado B; 39; 40; 41; 73, fracción </w:t>
      </w:r>
      <w:r w:rsidRPr="00CF6CFB">
        <w:rPr>
          <w:rFonts w:cs="Arial"/>
          <w:szCs w:val="28"/>
          <w:lang w:val="es-ES_tradnl"/>
        </w:rPr>
        <w:lastRenderedPageBreak/>
        <w:t>XVI, 115, párrafo primero; 116, fracción IV, incisos e) y k); 124; 133 de la Constitución Política de los Estados Unidos Mexicanos.</w:t>
      </w:r>
    </w:p>
    <w:p w:rsidR="0063363A" w:rsidRDefault="0063363A" w:rsidP="003F4CF1">
      <w:pPr>
        <w:autoSpaceDE w:val="0"/>
        <w:autoSpaceDN w:val="0"/>
        <w:adjustRightInd w:val="0"/>
        <w:rPr>
          <w:rFonts w:cs="Arial"/>
          <w:szCs w:val="28"/>
          <w:lang w:val="es-ES_tradnl"/>
        </w:rPr>
      </w:pPr>
      <w:r>
        <w:rPr>
          <w:rFonts w:cs="Arial"/>
          <w:szCs w:val="28"/>
          <w:lang w:val="es-ES_tradnl"/>
        </w:rPr>
        <w:t xml:space="preserve"> </w:t>
      </w:r>
    </w:p>
    <w:p w:rsidR="00A669A3" w:rsidRPr="008D4992" w:rsidRDefault="00A669A3" w:rsidP="003F4CF1">
      <w:pPr>
        <w:autoSpaceDE w:val="0"/>
        <w:autoSpaceDN w:val="0"/>
        <w:adjustRightInd w:val="0"/>
        <w:rPr>
          <w:rFonts w:cs="Arial"/>
          <w:szCs w:val="28"/>
        </w:rPr>
      </w:pPr>
      <w:r w:rsidRPr="008D4992">
        <w:rPr>
          <w:rFonts w:cs="Arial"/>
          <w:szCs w:val="28"/>
          <w:lang w:val="es-ES_tradnl"/>
        </w:rPr>
        <w:t>Mediante acuerdo</w:t>
      </w:r>
      <w:r w:rsidR="006C130E">
        <w:rPr>
          <w:rFonts w:cs="Arial"/>
          <w:szCs w:val="28"/>
          <w:lang w:val="es-ES_tradnl"/>
        </w:rPr>
        <w:t>s</w:t>
      </w:r>
      <w:r w:rsidRPr="008D4992">
        <w:rPr>
          <w:rFonts w:cs="Arial"/>
          <w:szCs w:val="28"/>
          <w:lang w:val="es-ES_tradnl"/>
        </w:rPr>
        <w:t xml:space="preserve"> de </w:t>
      </w:r>
      <w:r>
        <w:rPr>
          <w:rFonts w:cs="Arial"/>
          <w:szCs w:val="28"/>
          <w:lang w:val="es-ES_tradnl"/>
        </w:rPr>
        <w:t xml:space="preserve">tres </w:t>
      </w:r>
      <w:r w:rsidR="00617DDD">
        <w:rPr>
          <w:rFonts w:cs="Arial"/>
          <w:szCs w:val="28"/>
          <w:lang w:val="es-ES_tradnl"/>
        </w:rPr>
        <w:t xml:space="preserve">y siete </w:t>
      </w:r>
      <w:r>
        <w:rPr>
          <w:rFonts w:cs="Arial"/>
          <w:szCs w:val="28"/>
          <w:lang w:val="es-ES_tradnl"/>
        </w:rPr>
        <w:t>de julio de dos mil veinte</w:t>
      </w:r>
      <w:r w:rsidRPr="008D4992">
        <w:rPr>
          <w:rFonts w:cs="Arial"/>
          <w:szCs w:val="28"/>
          <w:lang w:val="es-ES_tradnl"/>
        </w:rPr>
        <w:t xml:space="preserve">, el Ministro Presidente de esta Suprema Corte de Justicia de la Nación </w:t>
      </w:r>
      <w:r w:rsidR="006C130E">
        <w:rPr>
          <w:rFonts w:cs="Arial"/>
          <w:szCs w:val="28"/>
          <w:lang w:val="es-ES_tradnl"/>
        </w:rPr>
        <w:t xml:space="preserve">registró </w:t>
      </w:r>
      <w:r w:rsidR="00617DDD">
        <w:rPr>
          <w:rFonts w:cs="Arial"/>
          <w:szCs w:val="28"/>
          <w:lang w:val="es-ES_tradnl"/>
        </w:rPr>
        <w:t>las demandas bajo los</w:t>
      </w:r>
      <w:r w:rsidR="006C130E">
        <w:rPr>
          <w:rFonts w:cs="Arial"/>
          <w:szCs w:val="28"/>
          <w:lang w:val="es-ES_tradnl"/>
        </w:rPr>
        <w:t xml:space="preserve"> expediente</w:t>
      </w:r>
      <w:r w:rsidR="00617DDD">
        <w:rPr>
          <w:rFonts w:cs="Arial"/>
          <w:szCs w:val="28"/>
          <w:lang w:val="es-ES_tradnl"/>
        </w:rPr>
        <w:t>s</w:t>
      </w:r>
      <w:r w:rsidRPr="008D4992">
        <w:rPr>
          <w:rFonts w:cs="Arial"/>
          <w:szCs w:val="28"/>
          <w:lang w:val="es-ES_tradnl"/>
        </w:rPr>
        <w:t xml:space="preserve"> acción de inconstitucionalidad </w:t>
      </w:r>
      <w:r>
        <w:rPr>
          <w:rFonts w:cs="Arial"/>
          <w:szCs w:val="28"/>
          <w:lang w:val="es-ES_tradnl"/>
        </w:rPr>
        <w:t>135</w:t>
      </w:r>
      <w:r>
        <w:rPr>
          <w:rFonts w:cs="Arial"/>
          <w:bCs/>
          <w:szCs w:val="28"/>
          <w:lang w:val="es-ES_tradnl"/>
        </w:rPr>
        <w:t>/2020</w:t>
      </w:r>
      <w:r w:rsidR="00617DDD">
        <w:rPr>
          <w:rFonts w:cs="Arial"/>
          <w:bCs/>
          <w:szCs w:val="28"/>
          <w:lang w:val="es-ES_tradnl"/>
        </w:rPr>
        <w:t xml:space="preserve"> y</w:t>
      </w:r>
      <w:r w:rsidRPr="008D4992">
        <w:rPr>
          <w:rFonts w:cs="Arial"/>
          <w:szCs w:val="28"/>
        </w:rPr>
        <w:t xml:space="preserve"> </w:t>
      </w:r>
      <w:r>
        <w:rPr>
          <w:rFonts w:cs="Arial"/>
          <w:szCs w:val="28"/>
        </w:rPr>
        <w:t>138/2020</w:t>
      </w:r>
      <w:r w:rsidR="00617DDD">
        <w:rPr>
          <w:rFonts w:cs="Arial"/>
          <w:szCs w:val="28"/>
        </w:rPr>
        <w:t>, respectivamente</w:t>
      </w:r>
      <w:r>
        <w:rPr>
          <w:rFonts w:cs="Arial"/>
          <w:szCs w:val="28"/>
        </w:rPr>
        <w:t>.</w:t>
      </w:r>
      <w:r w:rsidR="00617DDD">
        <w:rPr>
          <w:rFonts w:cs="Arial"/>
          <w:szCs w:val="28"/>
        </w:rPr>
        <w:t xml:space="preserve"> Asimismo, </w:t>
      </w:r>
      <w:r w:rsidRPr="008D4992">
        <w:rPr>
          <w:rFonts w:cs="Arial"/>
          <w:szCs w:val="28"/>
        </w:rPr>
        <w:t xml:space="preserve">ordenó acumular los expedientes y </w:t>
      </w:r>
      <w:r w:rsidR="00617DDD">
        <w:rPr>
          <w:rFonts w:cs="Arial"/>
          <w:szCs w:val="28"/>
        </w:rPr>
        <w:t>designó</w:t>
      </w:r>
      <w:r w:rsidRPr="008D4992">
        <w:rPr>
          <w:rFonts w:cs="Arial"/>
          <w:szCs w:val="28"/>
        </w:rPr>
        <w:t xml:space="preserve"> al Ministro José Fernando Franco González Salas como instructor </w:t>
      </w:r>
      <w:r w:rsidR="00617DDD">
        <w:rPr>
          <w:rFonts w:cs="Arial"/>
          <w:szCs w:val="28"/>
        </w:rPr>
        <w:t>del procedimiento</w:t>
      </w:r>
      <w:r w:rsidRPr="008D4992">
        <w:rPr>
          <w:rFonts w:cs="Arial"/>
          <w:szCs w:val="28"/>
        </w:rPr>
        <w:t>.</w:t>
      </w:r>
    </w:p>
    <w:p w:rsidR="00A669A3" w:rsidRPr="008D4992" w:rsidRDefault="00A669A3" w:rsidP="003F4CF1">
      <w:pPr>
        <w:pStyle w:val="corte4fondo"/>
        <w:spacing w:line="276" w:lineRule="auto"/>
        <w:rPr>
          <w:rFonts w:cs="Arial"/>
          <w:b/>
          <w:sz w:val="28"/>
          <w:szCs w:val="28"/>
        </w:rPr>
      </w:pPr>
    </w:p>
    <w:p w:rsidR="00A669A3" w:rsidRPr="008D4992" w:rsidRDefault="00617DDD" w:rsidP="003F4CF1">
      <w:pPr>
        <w:pStyle w:val="corte4fondo"/>
        <w:spacing w:line="276" w:lineRule="auto"/>
        <w:rPr>
          <w:rFonts w:cs="Arial"/>
          <w:sz w:val="28"/>
          <w:szCs w:val="28"/>
        </w:rPr>
      </w:pPr>
      <w:r w:rsidRPr="00617DDD">
        <w:rPr>
          <w:rFonts w:cs="Arial"/>
          <w:bCs/>
          <w:sz w:val="28"/>
          <w:szCs w:val="28"/>
        </w:rPr>
        <w:t>En acuerdo de</w:t>
      </w:r>
      <w:r w:rsidR="00A669A3" w:rsidRPr="008D4992">
        <w:rPr>
          <w:rFonts w:cs="Arial"/>
          <w:bCs/>
          <w:sz w:val="28"/>
          <w:szCs w:val="28"/>
        </w:rPr>
        <w:t xml:space="preserve"> </w:t>
      </w:r>
      <w:r>
        <w:rPr>
          <w:rFonts w:cs="Arial"/>
          <w:sz w:val="28"/>
          <w:szCs w:val="28"/>
        </w:rPr>
        <w:t>diez de julio de dos mil</w:t>
      </w:r>
      <w:r w:rsidR="00A669A3">
        <w:rPr>
          <w:rFonts w:cs="Arial"/>
          <w:sz w:val="28"/>
          <w:szCs w:val="28"/>
        </w:rPr>
        <w:t xml:space="preserve"> veinte</w:t>
      </w:r>
      <w:r w:rsidR="00A669A3" w:rsidRPr="008D4992">
        <w:rPr>
          <w:rFonts w:cs="Arial"/>
          <w:sz w:val="28"/>
          <w:szCs w:val="28"/>
        </w:rPr>
        <w:t>, el Ministro instructor admitió las acciones</w:t>
      </w:r>
      <w:r w:rsidR="00857FEB" w:rsidRPr="00857FEB">
        <w:rPr>
          <w:rFonts w:cs="Arial"/>
          <w:sz w:val="28"/>
          <w:szCs w:val="28"/>
        </w:rPr>
        <w:t xml:space="preserve"> </w:t>
      </w:r>
      <w:r w:rsidR="00857FEB" w:rsidRPr="008D4992">
        <w:rPr>
          <w:rFonts w:cs="Arial"/>
          <w:sz w:val="28"/>
          <w:szCs w:val="28"/>
        </w:rPr>
        <w:t>referidas</w:t>
      </w:r>
      <w:r w:rsidR="00A669A3" w:rsidRPr="008D4992">
        <w:rPr>
          <w:rFonts w:cs="Arial"/>
          <w:sz w:val="28"/>
          <w:szCs w:val="28"/>
        </w:rPr>
        <w:t xml:space="preserve">, </w:t>
      </w:r>
      <w:r w:rsidR="00857FEB">
        <w:rPr>
          <w:rFonts w:cs="Arial"/>
          <w:sz w:val="28"/>
          <w:szCs w:val="28"/>
        </w:rPr>
        <w:t>dio</w:t>
      </w:r>
      <w:r w:rsidR="00A669A3" w:rsidRPr="008D4992">
        <w:rPr>
          <w:rFonts w:cs="Arial"/>
          <w:sz w:val="28"/>
          <w:szCs w:val="28"/>
        </w:rPr>
        <w:t xml:space="preserve"> vista </w:t>
      </w:r>
      <w:r w:rsidR="00857FEB">
        <w:rPr>
          <w:rFonts w:cs="Arial"/>
          <w:sz w:val="28"/>
          <w:szCs w:val="28"/>
        </w:rPr>
        <w:t>a los Poderes Legislativo y Ejecutivo del Estado de Sinaloa</w:t>
      </w:r>
      <w:r w:rsidR="00A669A3" w:rsidRPr="008D4992">
        <w:rPr>
          <w:rFonts w:cs="Arial"/>
          <w:sz w:val="28"/>
          <w:szCs w:val="28"/>
        </w:rPr>
        <w:t xml:space="preserve"> para que rindieran sus respectivos informes</w:t>
      </w:r>
      <w:r w:rsidR="00857FEB">
        <w:rPr>
          <w:rFonts w:cs="Arial"/>
          <w:sz w:val="28"/>
          <w:szCs w:val="28"/>
        </w:rPr>
        <w:t xml:space="preserve"> y </w:t>
      </w:r>
      <w:r w:rsidR="00A669A3" w:rsidRPr="008D4992">
        <w:rPr>
          <w:rFonts w:cs="Arial"/>
          <w:sz w:val="28"/>
          <w:szCs w:val="28"/>
        </w:rPr>
        <w:t xml:space="preserve">a la </w:t>
      </w:r>
      <w:r w:rsidR="00A669A3">
        <w:rPr>
          <w:rFonts w:cs="Arial"/>
          <w:sz w:val="28"/>
          <w:szCs w:val="28"/>
        </w:rPr>
        <w:t>Fiscalía</w:t>
      </w:r>
      <w:r w:rsidR="00A669A3" w:rsidRPr="008D4992">
        <w:rPr>
          <w:rFonts w:cs="Arial"/>
          <w:sz w:val="28"/>
          <w:szCs w:val="28"/>
        </w:rPr>
        <w:t xml:space="preserve"> General de la República para que formulara el pedimento que le corresponde, requirió a la Sala Superior del Tribunal Electoral del Poder Judicial</w:t>
      </w:r>
      <w:r w:rsidR="00FE314F">
        <w:rPr>
          <w:rFonts w:cs="Arial"/>
          <w:sz w:val="28"/>
          <w:szCs w:val="28"/>
        </w:rPr>
        <w:t xml:space="preserve"> de la Federación </w:t>
      </w:r>
      <w:r w:rsidR="00A669A3" w:rsidRPr="008D4992">
        <w:rPr>
          <w:rFonts w:cs="Arial"/>
          <w:sz w:val="28"/>
          <w:szCs w:val="28"/>
        </w:rPr>
        <w:t xml:space="preserve">que expresara su opinión en relación con los asuntos de mérito y solicitó al Consejo General del Instituto Electoral de </w:t>
      </w:r>
      <w:r w:rsidR="00A669A3">
        <w:rPr>
          <w:rFonts w:cs="Arial"/>
          <w:sz w:val="28"/>
          <w:szCs w:val="28"/>
        </w:rPr>
        <w:t>Sinaloa</w:t>
      </w:r>
      <w:r w:rsidR="00A669A3" w:rsidRPr="008D4992">
        <w:rPr>
          <w:rFonts w:cs="Arial"/>
          <w:sz w:val="28"/>
          <w:szCs w:val="28"/>
        </w:rPr>
        <w:t xml:space="preserve"> la fecha de inicio del siguiente proceso electoral.</w:t>
      </w:r>
    </w:p>
    <w:p w:rsidR="00FA1DDD" w:rsidRPr="008D4992" w:rsidRDefault="00FA1DDD" w:rsidP="003F4CF1"/>
    <w:p w:rsidR="00384192" w:rsidRDefault="00B54758" w:rsidP="003F4CF1">
      <w:pPr>
        <w:pStyle w:val="Ttulo2"/>
        <w:keepNext w:val="0"/>
        <w:keepLines w:val="0"/>
        <w:rPr>
          <w:rFonts w:cs="Arial"/>
          <w:b w:val="0"/>
          <w:szCs w:val="28"/>
        </w:rPr>
      </w:pPr>
      <w:r>
        <w:t>SEGUNDO. Conceptos de invalidez</w:t>
      </w:r>
      <w:r w:rsidR="00656A72" w:rsidRPr="008D4992">
        <w:t>.</w:t>
      </w:r>
      <w:r w:rsidR="00D017A0" w:rsidRPr="008D4992">
        <w:t xml:space="preserve"> </w:t>
      </w:r>
      <w:r w:rsidR="00953060" w:rsidRPr="00B54758">
        <w:rPr>
          <w:b w:val="0"/>
        </w:rPr>
        <w:t>E</w:t>
      </w:r>
      <w:r>
        <w:rPr>
          <w:b w:val="0"/>
        </w:rPr>
        <w:t>n su primer concepto de invalidez</w:t>
      </w:r>
      <w:r w:rsidRPr="00B54758">
        <w:rPr>
          <w:rStyle w:val="Refdenotaalpie"/>
          <w:rFonts w:cs="Arial"/>
          <w:b w:val="0"/>
          <w:szCs w:val="28"/>
        </w:rPr>
        <w:footnoteReference w:id="1"/>
      </w:r>
      <w:r>
        <w:rPr>
          <w:b w:val="0"/>
        </w:rPr>
        <w:t>, el</w:t>
      </w:r>
      <w:r w:rsidR="00953060" w:rsidRPr="00B54758">
        <w:rPr>
          <w:b w:val="0"/>
        </w:rPr>
        <w:t xml:space="preserve"> Partido Sinaloense </w:t>
      </w:r>
      <w:r w:rsidR="00656A72" w:rsidRPr="00B54758">
        <w:rPr>
          <w:rFonts w:cs="Arial"/>
          <w:b w:val="0"/>
          <w:szCs w:val="28"/>
        </w:rPr>
        <w:t xml:space="preserve">impugna </w:t>
      </w:r>
      <w:r w:rsidR="00B869F9" w:rsidRPr="00B54758">
        <w:rPr>
          <w:rFonts w:cs="Arial"/>
          <w:b w:val="0"/>
          <w:szCs w:val="28"/>
        </w:rPr>
        <w:t xml:space="preserve">los </w:t>
      </w:r>
      <w:r w:rsidR="005B1A8B" w:rsidRPr="005B1A8B">
        <w:rPr>
          <w:rFonts w:cs="Arial"/>
          <w:b w:val="0"/>
          <w:szCs w:val="28"/>
        </w:rPr>
        <w:t>artículos 18</w:t>
      </w:r>
      <w:r w:rsidR="0006034D">
        <w:rPr>
          <w:rFonts w:cs="Arial"/>
          <w:b w:val="0"/>
          <w:szCs w:val="28"/>
        </w:rPr>
        <w:t>, párrafo</w:t>
      </w:r>
      <w:r w:rsidR="0006034D" w:rsidRPr="0006034D">
        <w:rPr>
          <w:rFonts w:cs="Arial"/>
          <w:b w:val="0"/>
          <w:szCs w:val="28"/>
        </w:rPr>
        <w:t xml:space="preserve"> </w:t>
      </w:r>
      <w:r w:rsidR="0006034D">
        <w:rPr>
          <w:rFonts w:cs="Arial"/>
          <w:b w:val="0"/>
          <w:szCs w:val="28"/>
        </w:rPr>
        <w:t>segundo</w:t>
      </w:r>
      <w:r w:rsidR="005B1A8B" w:rsidRPr="005B1A8B">
        <w:rPr>
          <w:rFonts w:cs="Arial"/>
          <w:b w:val="0"/>
          <w:szCs w:val="28"/>
        </w:rPr>
        <w:t xml:space="preserve">; </w:t>
      </w:r>
      <w:r w:rsidR="005B1A8B" w:rsidRPr="005B1A8B">
        <w:rPr>
          <w:rFonts w:cs="Arial"/>
          <w:b w:val="0"/>
          <w:bCs w:val="0"/>
          <w:szCs w:val="28"/>
        </w:rPr>
        <w:t>36, párrafos segundo y noveno; 79, párrafo segundo; 80, párrafos segundo y tercero; 142, párrafo primero; 146, fracciones II, IV y XXIV Bis; 153 y 161 de la Ley de Instituciones y Procedimientos Electorales del Estado de Sinaloa, así como el artículo único transitorio del decreto 454</w:t>
      </w:r>
      <w:r w:rsidR="00731E71" w:rsidRPr="005B1A8B">
        <w:rPr>
          <w:rFonts w:cs="Arial"/>
          <w:b w:val="0"/>
          <w:bCs w:val="0"/>
          <w:szCs w:val="28"/>
        </w:rPr>
        <w:t xml:space="preserve"> </w:t>
      </w:r>
      <w:r w:rsidR="00731E71" w:rsidRPr="00B54758">
        <w:rPr>
          <w:rFonts w:cs="Arial"/>
          <w:b w:val="0"/>
          <w:bCs w:val="0"/>
          <w:szCs w:val="28"/>
        </w:rPr>
        <w:t xml:space="preserve">y </w:t>
      </w:r>
      <w:r>
        <w:rPr>
          <w:rFonts w:cs="Arial"/>
          <w:b w:val="0"/>
          <w:bCs w:val="0"/>
          <w:szCs w:val="28"/>
        </w:rPr>
        <w:t>la derogación de los</w:t>
      </w:r>
      <w:r w:rsidR="00731E71" w:rsidRPr="00B54758">
        <w:rPr>
          <w:rFonts w:cs="Arial"/>
          <w:b w:val="0"/>
          <w:bCs w:val="0"/>
          <w:szCs w:val="28"/>
        </w:rPr>
        <w:t xml:space="preserve"> párrafos tercero, cuarto, quinto, sexto y</w:t>
      </w:r>
      <w:r>
        <w:rPr>
          <w:rFonts w:cs="Arial"/>
          <w:b w:val="0"/>
          <w:bCs w:val="0"/>
          <w:szCs w:val="28"/>
        </w:rPr>
        <w:t xml:space="preserve"> décimo del artículo 36 de la m</w:t>
      </w:r>
      <w:r w:rsidR="00731E71" w:rsidRPr="00B54758">
        <w:rPr>
          <w:rFonts w:cs="Arial"/>
          <w:b w:val="0"/>
          <w:bCs w:val="0"/>
          <w:szCs w:val="28"/>
        </w:rPr>
        <w:t>i</w:t>
      </w:r>
      <w:r>
        <w:rPr>
          <w:rFonts w:cs="Arial"/>
          <w:b w:val="0"/>
          <w:bCs w:val="0"/>
          <w:szCs w:val="28"/>
        </w:rPr>
        <w:t>s</w:t>
      </w:r>
      <w:r w:rsidR="00731E71" w:rsidRPr="00B54758">
        <w:rPr>
          <w:rFonts w:cs="Arial"/>
          <w:b w:val="0"/>
          <w:bCs w:val="0"/>
          <w:szCs w:val="28"/>
        </w:rPr>
        <w:t>ma ley</w:t>
      </w:r>
      <w:r w:rsidR="00384192">
        <w:rPr>
          <w:rFonts w:cs="Arial"/>
          <w:b w:val="0"/>
          <w:bCs w:val="0"/>
          <w:szCs w:val="28"/>
        </w:rPr>
        <w:t>.</w:t>
      </w:r>
    </w:p>
    <w:p w:rsidR="00384192" w:rsidRDefault="00384192" w:rsidP="003F4CF1"/>
    <w:p w:rsidR="005A376C" w:rsidRPr="00384192" w:rsidRDefault="00384192" w:rsidP="003F4CF1">
      <w:r w:rsidRPr="00384192">
        <w:t xml:space="preserve">Lo anterior porque desde su perspectiva </w:t>
      </w:r>
      <w:r w:rsidR="00A41E2F" w:rsidRPr="00384192">
        <w:t>no debió aplazar</w:t>
      </w:r>
      <w:r w:rsidRPr="00384192">
        <w:t>se</w:t>
      </w:r>
      <w:r w:rsidR="00A41E2F" w:rsidRPr="00384192">
        <w:t xml:space="preserve"> la convocatoria </w:t>
      </w:r>
      <w:r w:rsidRPr="00384192">
        <w:t>para iniciar</w:t>
      </w:r>
      <w:r w:rsidR="00A41E2F" w:rsidRPr="00384192">
        <w:t xml:space="preserve"> el proceso electoral de la primera quincena de septiembre a la primera quincena de diciembre</w:t>
      </w:r>
      <w:r w:rsidR="00D04E68" w:rsidRPr="00384192">
        <w:rPr>
          <w:rStyle w:val="Refdenotaalpie"/>
          <w:rFonts w:cs="Arial"/>
          <w:szCs w:val="28"/>
        </w:rPr>
        <w:footnoteReference w:id="2"/>
      </w:r>
      <w:r w:rsidR="00A41E2F" w:rsidRPr="00384192">
        <w:t xml:space="preserve"> </w:t>
      </w:r>
      <w:r w:rsidRPr="00384192">
        <w:t xml:space="preserve">para cumplir con </w:t>
      </w:r>
      <w:r w:rsidRPr="00384192">
        <w:lastRenderedPageBreak/>
        <w:t>el periodo de</w:t>
      </w:r>
      <w:r w:rsidR="00A41E2F" w:rsidRPr="00384192">
        <w:t xml:space="preserve"> veda electoral, </w:t>
      </w:r>
      <w:r w:rsidRPr="00384192">
        <w:t>pues</w:t>
      </w:r>
      <w:r w:rsidR="00A41E2F" w:rsidRPr="00384192">
        <w:t xml:space="preserve"> lo referente al tema del representante indígena no </w:t>
      </w:r>
      <w:r w:rsidR="00773CAA">
        <w:t>constituye una modificación legal fundamental referida en</w:t>
      </w:r>
      <w:r w:rsidR="00A41E2F" w:rsidRPr="00384192">
        <w:t xml:space="preserve"> la fracción II del artículo 105 de la Constitución</w:t>
      </w:r>
      <w:r w:rsidR="00773CAA">
        <w:t xml:space="preserve"> General en tanto</w:t>
      </w:r>
      <w:r w:rsidR="00A41E2F" w:rsidRPr="00384192">
        <w:t xml:space="preserve"> no altera el proceso electoral.</w:t>
      </w:r>
    </w:p>
    <w:p w:rsidR="005A376C" w:rsidRPr="00B54758" w:rsidRDefault="005A376C" w:rsidP="003F4CF1">
      <w:pPr>
        <w:ind w:firstLine="708"/>
        <w:rPr>
          <w:rFonts w:cs="Arial"/>
          <w:szCs w:val="28"/>
        </w:rPr>
      </w:pPr>
    </w:p>
    <w:p w:rsidR="005A376C" w:rsidRDefault="005A376C" w:rsidP="003F4CF1">
      <w:pPr>
        <w:ind w:firstLine="708"/>
        <w:rPr>
          <w:rFonts w:cs="Arial"/>
          <w:szCs w:val="28"/>
        </w:rPr>
      </w:pPr>
      <w:r w:rsidRPr="00B54758">
        <w:rPr>
          <w:rFonts w:cs="Arial"/>
          <w:szCs w:val="28"/>
        </w:rPr>
        <w:t>Por otro lado, señala que el</w:t>
      </w:r>
      <w:r w:rsidRPr="005A376C">
        <w:rPr>
          <w:rFonts w:cs="Arial"/>
          <w:szCs w:val="28"/>
        </w:rPr>
        <w:t xml:space="preserve"> proceso electoral para elegir ayuntamientos no rige los plazos, tiempos, procedimientos y exigencias del nombramiento del representante indígena, en razón de que los miembros del ayuntamiento son elegidos por mecanismos de la democracia representativa mientras que el representante ind</w:t>
      </w:r>
      <w:r>
        <w:rPr>
          <w:rFonts w:cs="Arial"/>
          <w:szCs w:val="28"/>
        </w:rPr>
        <w:t>ígena es</w:t>
      </w:r>
      <w:r w:rsidRPr="005A376C">
        <w:rPr>
          <w:rFonts w:cs="Arial"/>
          <w:szCs w:val="28"/>
        </w:rPr>
        <w:t xml:space="preserve"> elegido por usos y costumbres.</w:t>
      </w:r>
    </w:p>
    <w:p w:rsidR="005A376C" w:rsidRDefault="005A376C" w:rsidP="003F4CF1">
      <w:pPr>
        <w:ind w:firstLine="708"/>
        <w:rPr>
          <w:rFonts w:cs="Arial"/>
          <w:szCs w:val="28"/>
        </w:rPr>
      </w:pPr>
    </w:p>
    <w:p w:rsidR="005A376C" w:rsidRDefault="00D920B5" w:rsidP="003F4CF1">
      <w:pPr>
        <w:ind w:firstLine="708"/>
        <w:rPr>
          <w:rFonts w:cs="Arial"/>
          <w:szCs w:val="28"/>
        </w:rPr>
      </w:pPr>
      <w:r>
        <w:rPr>
          <w:rFonts w:cs="Arial"/>
          <w:szCs w:val="28"/>
        </w:rPr>
        <w:t>En ese sentido, l</w:t>
      </w:r>
      <w:r w:rsidR="005A376C" w:rsidRPr="005A376C">
        <w:rPr>
          <w:rFonts w:cs="Arial"/>
          <w:szCs w:val="28"/>
        </w:rPr>
        <w:t xml:space="preserve">a voluntad del legislador para llevar a cabo la reforma y adiciones a diversos artículos de la Ley de Instituciones y Procedimientos Electorales del Estado de Sinaloa </w:t>
      </w:r>
      <w:r w:rsidR="00FA7D7E">
        <w:rPr>
          <w:rFonts w:cs="Arial"/>
          <w:szCs w:val="28"/>
        </w:rPr>
        <w:t xml:space="preserve">está encaminada a </w:t>
      </w:r>
      <w:r w:rsidR="005A376C" w:rsidRPr="005A376C">
        <w:rPr>
          <w:rFonts w:cs="Arial"/>
          <w:szCs w:val="28"/>
        </w:rPr>
        <w:t xml:space="preserve">que el representante indígena sea tomado en cuenta dentro del proceso electoral para la renovación de ayuntamientos que gobernarán durante el periodo de </w:t>
      </w:r>
      <w:r w:rsidR="00FE314F">
        <w:rPr>
          <w:rFonts w:cs="Arial"/>
          <w:szCs w:val="28"/>
        </w:rPr>
        <w:t>dos mil veintiuno a dos mil veinticuatro</w:t>
      </w:r>
      <w:r w:rsidR="00FA7D7E">
        <w:rPr>
          <w:rFonts w:cs="Arial"/>
          <w:szCs w:val="28"/>
        </w:rPr>
        <w:t>;</w:t>
      </w:r>
      <w:r w:rsidR="005A376C">
        <w:rPr>
          <w:rFonts w:cs="Arial"/>
          <w:szCs w:val="28"/>
        </w:rPr>
        <w:t xml:space="preserve"> situación que no debe ser así en razón de que la elección del mencionado representante es por usos y costumbres.</w:t>
      </w:r>
    </w:p>
    <w:p w:rsidR="005A376C" w:rsidRDefault="005A376C" w:rsidP="003F4CF1">
      <w:pPr>
        <w:ind w:firstLine="708"/>
        <w:rPr>
          <w:rFonts w:cs="Arial"/>
          <w:szCs w:val="28"/>
        </w:rPr>
      </w:pPr>
    </w:p>
    <w:p w:rsidR="005A376C" w:rsidRDefault="00FA7D7E" w:rsidP="003F4CF1">
      <w:pPr>
        <w:ind w:firstLine="708"/>
        <w:rPr>
          <w:rFonts w:cs="Arial"/>
          <w:szCs w:val="28"/>
        </w:rPr>
      </w:pPr>
      <w:r>
        <w:rPr>
          <w:rFonts w:cs="Arial"/>
          <w:szCs w:val="28"/>
        </w:rPr>
        <w:t>Con ello ―desde su perspectiva― el legislador local vulnera</w:t>
      </w:r>
      <w:r w:rsidR="005A376C">
        <w:rPr>
          <w:rFonts w:cs="Arial"/>
          <w:szCs w:val="28"/>
        </w:rPr>
        <w:t xml:space="preserve"> los</w:t>
      </w:r>
      <w:r w:rsidR="005A376C" w:rsidRPr="005A376C">
        <w:rPr>
          <w:rFonts w:cs="Arial"/>
          <w:szCs w:val="28"/>
        </w:rPr>
        <w:t xml:space="preserve"> principios de libre determinación y autonomía de las comunidades indígenas </w:t>
      </w:r>
      <w:r w:rsidR="005A376C">
        <w:rPr>
          <w:rFonts w:cs="Arial"/>
          <w:szCs w:val="28"/>
        </w:rPr>
        <w:t>debido a que la</w:t>
      </w:r>
      <w:r w:rsidR="005A376C" w:rsidRPr="005A376C">
        <w:rPr>
          <w:rFonts w:cs="Arial"/>
          <w:szCs w:val="28"/>
        </w:rPr>
        <w:t xml:space="preserve"> expedición de la </w:t>
      </w:r>
      <w:r w:rsidR="005A376C">
        <w:rPr>
          <w:rFonts w:cs="Arial"/>
          <w:szCs w:val="28"/>
        </w:rPr>
        <w:t xml:space="preserve">convocatoria </w:t>
      </w:r>
      <w:r w:rsidR="005A376C" w:rsidRPr="005A376C">
        <w:rPr>
          <w:rFonts w:cs="Arial"/>
          <w:szCs w:val="28"/>
        </w:rPr>
        <w:t>presupone que la elección de represe</w:t>
      </w:r>
      <w:r w:rsidR="005A376C">
        <w:rPr>
          <w:rFonts w:cs="Arial"/>
          <w:szCs w:val="28"/>
        </w:rPr>
        <w:t>nt</w:t>
      </w:r>
      <w:r w:rsidR="00FE314F">
        <w:rPr>
          <w:rFonts w:cs="Arial"/>
          <w:szCs w:val="28"/>
        </w:rPr>
        <w:t>ante indígena está</w:t>
      </w:r>
      <w:r w:rsidR="005A376C">
        <w:rPr>
          <w:rFonts w:cs="Arial"/>
          <w:szCs w:val="28"/>
        </w:rPr>
        <w:t xml:space="preserve"> supeditada a lo que se legisle sobre el representante de la comunidad indígena como miembro del </w:t>
      </w:r>
      <w:r w:rsidR="00B869F9">
        <w:rPr>
          <w:rFonts w:cs="Arial"/>
          <w:szCs w:val="28"/>
        </w:rPr>
        <w:t>ayuntamiento</w:t>
      </w:r>
      <w:r w:rsidR="005A376C" w:rsidRPr="005A376C">
        <w:rPr>
          <w:rFonts w:cs="Arial"/>
          <w:szCs w:val="28"/>
        </w:rPr>
        <w:t>.</w:t>
      </w:r>
    </w:p>
    <w:p w:rsidR="00B869F9" w:rsidRDefault="00B869F9" w:rsidP="003F4CF1">
      <w:pPr>
        <w:ind w:firstLine="708"/>
        <w:rPr>
          <w:rFonts w:cs="Arial"/>
          <w:szCs w:val="28"/>
        </w:rPr>
      </w:pPr>
    </w:p>
    <w:p w:rsidR="00B869F9" w:rsidRPr="00B869F9" w:rsidRDefault="00FA7D7E" w:rsidP="003F4CF1">
      <w:pPr>
        <w:ind w:firstLine="708"/>
        <w:rPr>
          <w:rFonts w:cs="Arial"/>
          <w:szCs w:val="28"/>
        </w:rPr>
      </w:pPr>
      <w:r>
        <w:rPr>
          <w:rFonts w:cs="Arial"/>
          <w:szCs w:val="28"/>
        </w:rPr>
        <w:t>Así, considera que l</w:t>
      </w:r>
      <w:r w:rsidR="00B869F9" w:rsidRPr="00B869F9">
        <w:rPr>
          <w:rFonts w:cs="Arial"/>
          <w:szCs w:val="28"/>
        </w:rPr>
        <w:t>as reformas impugnadas vulneran el artículo 2, apartado A, fracciones II y IV</w:t>
      </w:r>
      <w:r>
        <w:rPr>
          <w:rFonts w:cs="Arial"/>
          <w:szCs w:val="28"/>
        </w:rPr>
        <w:t>,</w:t>
      </w:r>
      <w:r w:rsidR="00B869F9" w:rsidRPr="00B869F9">
        <w:rPr>
          <w:rFonts w:cs="Arial"/>
          <w:szCs w:val="28"/>
        </w:rPr>
        <w:t xml:space="preserve"> de la Constitución </w:t>
      </w:r>
      <w:r>
        <w:rPr>
          <w:rFonts w:cs="Arial"/>
          <w:szCs w:val="28"/>
        </w:rPr>
        <w:t xml:space="preserve">General </w:t>
      </w:r>
      <w:r w:rsidR="00B869F9" w:rsidRPr="00B869F9">
        <w:rPr>
          <w:rFonts w:cs="Arial"/>
          <w:szCs w:val="28"/>
        </w:rPr>
        <w:t>porque tienen la finalidad de subordinar la elección del representante de las comunidades indígenas, mediante usos y costumbres, a la convocatoria que emita el Congreso local para renovar ayuntamientos, legisladores y el cargo de gobernador.</w:t>
      </w:r>
    </w:p>
    <w:p w:rsidR="00B869F9" w:rsidRDefault="00B869F9" w:rsidP="003F4CF1">
      <w:pPr>
        <w:ind w:firstLine="708"/>
        <w:rPr>
          <w:rFonts w:cs="Arial"/>
          <w:szCs w:val="28"/>
        </w:rPr>
      </w:pPr>
    </w:p>
    <w:p w:rsidR="00B869F9" w:rsidRPr="00B869F9" w:rsidRDefault="00B869F9" w:rsidP="003F4CF1">
      <w:pPr>
        <w:ind w:firstLine="708"/>
        <w:rPr>
          <w:rFonts w:cs="Arial"/>
          <w:szCs w:val="28"/>
        </w:rPr>
      </w:pPr>
      <w:r w:rsidRPr="00B869F9">
        <w:rPr>
          <w:rFonts w:cs="Arial"/>
          <w:szCs w:val="28"/>
        </w:rPr>
        <w:t xml:space="preserve">De igual manera, </w:t>
      </w:r>
      <w:r w:rsidR="005766B9">
        <w:rPr>
          <w:rFonts w:cs="Arial"/>
          <w:szCs w:val="28"/>
        </w:rPr>
        <w:t xml:space="preserve">sostiene que al incorporar </w:t>
      </w:r>
      <w:r w:rsidRPr="00B869F9">
        <w:rPr>
          <w:rFonts w:cs="Arial"/>
          <w:szCs w:val="28"/>
        </w:rPr>
        <w:t xml:space="preserve">la reforma controvertida la elección del representante indígena en el proceso </w:t>
      </w:r>
      <w:r w:rsidRPr="00B869F9">
        <w:rPr>
          <w:rFonts w:cs="Arial"/>
          <w:szCs w:val="28"/>
        </w:rPr>
        <w:lastRenderedPageBreak/>
        <w:t>electoral propio de la democracia indirecta</w:t>
      </w:r>
      <w:r w:rsidR="005766B9">
        <w:rPr>
          <w:rFonts w:cs="Arial"/>
          <w:szCs w:val="28"/>
        </w:rPr>
        <w:t>,</w:t>
      </w:r>
      <w:r w:rsidRPr="00B869F9">
        <w:rPr>
          <w:rFonts w:cs="Arial"/>
          <w:szCs w:val="28"/>
        </w:rPr>
        <w:t xml:space="preserve"> los artículos impugnados transgreden los principios de libre determinación y autonomía de las </w:t>
      </w:r>
      <w:r>
        <w:rPr>
          <w:rFonts w:cs="Arial"/>
          <w:szCs w:val="28"/>
        </w:rPr>
        <w:t>comunidades indígenas.</w:t>
      </w:r>
    </w:p>
    <w:p w:rsidR="00B869F9" w:rsidRPr="005A376C" w:rsidRDefault="00B869F9" w:rsidP="003F4CF1">
      <w:pPr>
        <w:ind w:firstLine="708"/>
        <w:rPr>
          <w:rFonts w:cs="Arial"/>
          <w:szCs w:val="28"/>
        </w:rPr>
      </w:pPr>
    </w:p>
    <w:p w:rsidR="00B869F9" w:rsidRPr="00B869F9" w:rsidRDefault="005766B9" w:rsidP="003F4CF1">
      <w:pPr>
        <w:ind w:firstLine="708"/>
        <w:rPr>
          <w:rFonts w:cs="Arial"/>
          <w:szCs w:val="28"/>
        </w:rPr>
      </w:pPr>
      <w:r>
        <w:rPr>
          <w:rFonts w:cs="Arial"/>
          <w:szCs w:val="28"/>
        </w:rPr>
        <w:t>Por lo cual</w:t>
      </w:r>
      <w:r w:rsidR="00FE314F">
        <w:rPr>
          <w:rFonts w:cs="Arial"/>
          <w:szCs w:val="28"/>
        </w:rPr>
        <w:t>,</w:t>
      </w:r>
      <w:r>
        <w:rPr>
          <w:rFonts w:cs="Arial"/>
          <w:szCs w:val="28"/>
        </w:rPr>
        <w:t xml:space="preserve"> introducir</w:t>
      </w:r>
      <w:r w:rsidR="00B869F9" w:rsidRPr="00B869F9">
        <w:rPr>
          <w:rFonts w:cs="Arial"/>
          <w:szCs w:val="28"/>
        </w:rPr>
        <w:t xml:space="preserve"> la figura del representante indígena en el proceso electoral para que sea regido por la dinámica, axiomas y reglas</w:t>
      </w:r>
      <w:r w:rsidR="00CA0B98">
        <w:rPr>
          <w:rFonts w:cs="Arial"/>
          <w:szCs w:val="28"/>
        </w:rPr>
        <w:t xml:space="preserve"> de la democracia indirecta</w:t>
      </w:r>
      <w:r w:rsidR="00B869F9" w:rsidRPr="00B869F9">
        <w:rPr>
          <w:rFonts w:cs="Arial"/>
          <w:szCs w:val="28"/>
        </w:rPr>
        <w:t xml:space="preserve"> es atentar en contra de los principios de libre determinación y autonomía de las comunidades indígenas.</w:t>
      </w:r>
    </w:p>
    <w:p w:rsidR="005A376C" w:rsidRPr="005A376C" w:rsidRDefault="005A376C" w:rsidP="003F4CF1">
      <w:pPr>
        <w:ind w:firstLine="708"/>
        <w:rPr>
          <w:rFonts w:cs="Arial"/>
          <w:szCs w:val="28"/>
        </w:rPr>
      </w:pPr>
    </w:p>
    <w:p w:rsidR="00B869F9" w:rsidRDefault="00CA0B98" w:rsidP="003F4CF1">
      <w:pPr>
        <w:ind w:firstLine="708"/>
        <w:rPr>
          <w:rFonts w:cs="Arial"/>
          <w:szCs w:val="28"/>
        </w:rPr>
      </w:pPr>
      <w:r>
        <w:rPr>
          <w:rFonts w:cs="Arial"/>
          <w:szCs w:val="28"/>
        </w:rPr>
        <w:t>Además, que el C</w:t>
      </w:r>
      <w:r w:rsidR="00B869F9" w:rsidRPr="00B869F9">
        <w:rPr>
          <w:rFonts w:cs="Arial"/>
          <w:szCs w:val="28"/>
        </w:rPr>
        <w:t>ongreso local legisle sobre la materialización  del representante de las comunidades indígenas en los ayuntamiento</w:t>
      </w:r>
      <w:r>
        <w:rPr>
          <w:rFonts w:cs="Arial"/>
          <w:szCs w:val="28"/>
        </w:rPr>
        <w:t>s</w:t>
      </w:r>
      <w:r w:rsidR="00B869F9" w:rsidRPr="00B869F9">
        <w:rPr>
          <w:rFonts w:cs="Arial"/>
          <w:szCs w:val="28"/>
        </w:rPr>
        <w:t xml:space="preserve"> no es una modificación legal fun</w:t>
      </w:r>
      <w:r w:rsidR="00A823C8">
        <w:rPr>
          <w:rFonts w:cs="Arial"/>
          <w:szCs w:val="28"/>
        </w:rPr>
        <w:t>damental, puesto que no afectar</w:t>
      </w:r>
      <w:r w:rsidR="00B869F9" w:rsidRPr="00B869F9">
        <w:rPr>
          <w:rFonts w:cs="Arial"/>
          <w:szCs w:val="28"/>
        </w:rPr>
        <w:t>a los derechos de los partidos políticos o d</w:t>
      </w:r>
      <w:r>
        <w:rPr>
          <w:rFonts w:cs="Arial"/>
          <w:szCs w:val="28"/>
        </w:rPr>
        <w:t xml:space="preserve">e los candidatos independientes, por lo cual no está justificado el retraso </w:t>
      </w:r>
      <w:r w:rsidR="00FE314F">
        <w:rPr>
          <w:rFonts w:cs="Arial"/>
          <w:szCs w:val="28"/>
        </w:rPr>
        <w:t>del</w:t>
      </w:r>
      <w:r>
        <w:rPr>
          <w:rFonts w:cs="Arial"/>
          <w:szCs w:val="28"/>
        </w:rPr>
        <w:t xml:space="preserve"> inicio del proceso electoral.</w:t>
      </w:r>
    </w:p>
    <w:p w:rsidR="00B869F9" w:rsidRPr="00B869F9" w:rsidRDefault="00B869F9" w:rsidP="003F4CF1">
      <w:pPr>
        <w:ind w:firstLine="708"/>
        <w:rPr>
          <w:rFonts w:cs="Arial"/>
          <w:szCs w:val="28"/>
        </w:rPr>
      </w:pPr>
    </w:p>
    <w:p w:rsidR="00CE4754" w:rsidRPr="00FF42B6" w:rsidRDefault="00B869F9" w:rsidP="003F4CF1">
      <w:pPr>
        <w:ind w:firstLine="708"/>
        <w:rPr>
          <w:rFonts w:cs="Arial"/>
          <w:szCs w:val="28"/>
        </w:rPr>
      </w:pPr>
      <w:r w:rsidRPr="00FF42B6">
        <w:rPr>
          <w:rFonts w:cs="Arial"/>
          <w:szCs w:val="28"/>
        </w:rPr>
        <w:t xml:space="preserve">En su segundo concepto de invalidez </w:t>
      </w:r>
      <w:r w:rsidR="00B52378">
        <w:rPr>
          <w:rFonts w:cs="Arial"/>
          <w:szCs w:val="28"/>
        </w:rPr>
        <w:t>el partido demandante</w:t>
      </w:r>
      <w:r w:rsidR="00FF42B6" w:rsidRPr="00FF42B6">
        <w:rPr>
          <w:rFonts w:cs="Arial"/>
          <w:szCs w:val="28"/>
        </w:rPr>
        <w:t xml:space="preserve"> </w:t>
      </w:r>
      <w:r w:rsidRPr="00FF42B6">
        <w:rPr>
          <w:rFonts w:cs="Arial"/>
          <w:szCs w:val="28"/>
        </w:rPr>
        <w:t xml:space="preserve">impugna el artículo </w:t>
      </w:r>
      <w:r w:rsidR="00FF42B6" w:rsidRPr="00FF42B6">
        <w:rPr>
          <w:rFonts w:cs="Arial"/>
          <w:bCs/>
          <w:szCs w:val="28"/>
        </w:rPr>
        <w:t>79, párrafo segundo,</w:t>
      </w:r>
      <w:r w:rsidRPr="00FF42B6">
        <w:rPr>
          <w:rFonts w:cs="Arial"/>
          <w:bCs/>
          <w:szCs w:val="28"/>
        </w:rPr>
        <w:t xml:space="preserve"> de la Ley de Instituciones y Procedimientos Electorales del Estado de Sinaloa</w:t>
      </w:r>
      <w:r w:rsidRPr="00FF42B6">
        <w:rPr>
          <w:rFonts w:cs="Arial"/>
          <w:szCs w:val="28"/>
        </w:rPr>
        <w:t xml:space="preserve"> en razón de que permite a los candidatos independientes realizar actos propios del proceso electoral antes de que este comience.</w:t>
      </w:r>
    </w:p>
    <w:p w:rsidR="00B869F9" w:rsidRDefault="00B869F9" w:rsidP="003F4CF1">
      <w:pPr>
        <w:ind w:firstLine="708"/>
        <w:rPr>
          <w:rFonts w:cs="Arial"/>
          <w:szCs w:val="28"/>
        </w:rPr>
      </w:pPr>
    </w:p>
    <w:p w:rsidR="00B869F9" w:rsidRPr="00B869F9" w:rsidRDefault="00B869F9" w:rsidP="003F4CF1">
      <w:pPr>
        <w:ind w:firstLine="708"/>
        <w:rPr>
          <w:rFonts w:cs="Arial"/>
          <w:szCs w:val="28"/>
        </w:rPr>
      </w:pPr>
      <w:r>
        <w:rPr>
          <w:rFonts w:cs="Arial"/>
          <w:szCs w:val="28"/>
        </w:rPr>
        <w:t xml:space="preserve">En ese sentido, </w:t>
      </w:r>
      <w:r w:rsidR="00B52378">
        <w:rPr>
          <w:rFonts w:cs="Arial"/>
          <w:szCs w:val="28"/>
        </w:rPr>
        <w:t>desde su punto de vista</w:t>
      </w:r>
      <w:r w:rsidR="00FE314F">
        <w:rPr>
          <w:rFonts w:cs="Arial"/>
          <w:szCs w:val="28"/>
        </w:rPr>
        <w:t>,</w:t>
      </w:r>
      <w:r w:rsidR="00B52378">
        <w:rPr>
          <w:rFonts w:cs="Arial"/>
          <w:szCs w:val="28"/>
        </w:rPr>
        <w:t xml:space="preserve"> la disposición </w:t>
      </w:r>
      <w:r>
        <w:rPr>
          <w:rFonts w:cs="Arial"/>
          <w:szCs w:val="28"/>
        </w:rPr>
        <w:t xml:space="preserve">es inconstitucional porque </w:t>
      </w:r>
      <w:r w:rsidR="00FE314F">
        <w:rPr>
          <w:rFonts w:cs="Arial"/>
          <w:szCs w:val="28"/>
        </w:rPr>
        <w:t xml:space="preserve">permite </w:t>
      </w:r>
      <w:r w:rsidRPr="00B869F9">
        <w:rPr>
          <w:rFonts w:cs="Arial"/>
          <w:szCs w:val="28"/>
        </w:rPr>
        <w:t xml:space="preserve">que en los últimos siete días de octubre del año previo a la elección el Consejo General del Instituto Electoras del Estado de Sinaloa </w:t>
      </w:r>
      <w:r w:rsidR="00A823C8">
        <w:rPr>
          <w:rFonts w:cs="Arial"/>
          <w:szCs w:val="28"/>
        </w:rPr>
        <w:t>realice</w:t>
      </w:r>
      <w:r w:rsidRPr="00B869F9">
        <w:rPr>
          <w:rFonts w:cs="Arial"/>
          <w:szCs w:val="28"/>
        </w:rPr>
        <w:t xml:space="preserve"> actos </w:t>
      </w:r>
      <w:r w:rsidR="00A823C8">
        <w:rPr>
          <w:rFonts w:cs="Arial"/>
          <w:szCs w:val="28"/>
        </w:rPr>
        <w:t>relacionados con</w:t>
      </w:r>
      <w:r w:rsidRPr="00B869F9">
        <w:rPr>
          <w:rFonts w:cs="Arial"/>
          <w:szCs w:val="28"/>
        </w:rPr>
        <w:t xml:space="preserve"> las candidaturas independientes</w:t>
      </w:r>
      <w:r w:rsidR="00A823C8">
        <w:rPr>
          <w:rFonts w:cs="Arial"/>
          <w:szCs w:val="28"/>
        </w:rPr>
        <w:t xml:space="preserve"> antes del inicio del</w:t>
      </w:r>
      <w:r>
        <w:rPr>
          <w:rFonts w:cs="Arial"/>
          <w:szCs w:val="28"/>
        </w:rPr>
        <w:t xml:space="preserve"> proceso</w:t>
      </w:r>
      <w:r w:rsidR="00A823C8">
        <w:rPr>
          <w:rFonts w:cs="Arial"/>
          <w:szCs w:val="28"/>
        </w:rPr>
        <w:t xml:space="preserve"> electoral propiamente</w:t>
      </w:r>
      <w:r>
        <w:rPr>
          <w:rFonts w:cs="Arial"/>
          <w:szCs w:val="28"/>
        </w:rPr>
        <w:t>.</w:t>
      </w:r>
    </w:p>
    <w:p w:rsidR="00B869F9" w:rsidRDefault="00B869F9" w:rsidP="003F4CF1">
      <w:pPr>
        <w:ind w:firstLine="708"/>
        <w:rPr>
          <w:rFonts w:cs="Arial"/>
          <w:szCs w:val="28"/>
        </w:rPr>
      </w:pPr>
    </w:p>
    <w:p w:rsidR="000E5667" w:rsidRDefault="00B869F9" w:rsidP="003F4CF1">
      <w:pPr>
        <w:ind w:firstLine="708"/>
        <w:rPr>
          <w:rFonts w:cs="Arial"/>
          <w:szCs w:val="28"/>
        </w:rPr>
      </w:pPr>
      <w:r w:rsidRPr="00A823C8">
        <w:rPr>
          <w:rFonts w:cs="Arial"/>
          <w:szCs w:val="28"/>
        </w:rPr>
        <w:t>En su tercer concepto de invalidez</w:t>
      </w:r>
      <w:r w:rsidR="00A823C8" w:rsidRPr="00A823C8">
        <w:rPr>
          <w:rFonts w:cs="Arial"/>
          <w:szCs w:val="28"/>
        </w:rPr>
        <w:t xml:space="preserve"> el partido local</w:t>
      </w:r>
      <w:r w:rsidRPr="00A823C8">
        <w:rPr>
          <w:rFonts w:cs="Arial"/>
          <w:szCs w:val="28"/>
        </w:rPr>
        <w:t xml:space="preserve"> impugna </w:t>
      </w:r>
      <w:r w:rsidR="000E5667" w:rsidRPr="00A823C8">
        <w:rPr>
          <w:rFonts w:cs="Arial"/>
          <w:szCs w:val="28"/>
        </w:rPr>
        <w:t xml:space="preserve">los </w:t>
      </w:r>
      <w:r w:rsidR="00A823C8">
        <w:rPr>
          <w:rFonts w:cs="Arial"/>
          <w:szCs w:val="28"/>
        </w:rPr>
        <w:t>artículos 18</w:t>
      </w:r>
      <w:r w:rsidR="0006034D">
        <w:rPr>
          <w:rFonts w:cs="Arial"/>
          <w:szCs w:val="28"/>
        </w:rPr>
        <w:t>, párrafo</w:t>
      </w:r>
      <w:r w:rsidR="0006034D" w:rsidRPr="0006034D">
        <w:rPr>
          <w:rFonts w:cs="Arial"/>
          <w:szCs w:val="28"/>
        </w:rPr>
        <w:t xml:space="preserve"> </w:t>
      </w:r>
      <w:r w:rsidR="0006034D">
        <w:rPr>
          <w:rFonts w:cs="Arial"/>
          <w:szCs w:val="28"/>
        </w:rPr>
        <w:t>segundo</w:t>
      </w:r>
      <w:r w:rsidR="00A823C8">
        <w:rPr>
          <w:rFonts w:cs="Arial"/>
          <w:szCs w:val="28"/>
        </w:rPr>
        <w:t>;</w:t>
      </w:r>
      <w:r w:rsidR="000E5667" w:rsidRPr="00A823C8">
        <w:rPr>
          <w:rFonts w:cs="Arial"/>
          <w:szCs w:val="28"/>
        </w:rPr>
        <w:t xml:space="preserve"> </w:t>
      </w:r>
      <w:r w:rsidR="000E5667" w:rsidRPr="00A823C8">
        <w:rPr>
          <w:rFonts w:cs="Arial"/>
          <w:bCs/>
          <w:szCs w:val="28"/>
        </w:rPr>
        <w:t xml:space="preserve">36, párrafos segundo y noveno; </w:t>
      </w:r>
      <w:r w:rsidR="00A823C8" w:rsidRPr="00A823C8">
        <w:rPr>
          <w:rFonts w:cs="Arial"/>
          <w:bCs/>
          <w:szCs w:val="28"/>
        </w:rPr>
        <w:t>79, párrafo segundo</w:t>
      </w:r>
      <w:r w:rsidR="00A823C8">
        <w:rPr>
          <w:rFonts w:cs="Arial"/>
          <w:bCs/>
          <w:szCs w:val="28"/>
        </w:rPr>
        <w:t>;</w:t>
      </w:r>
      <w:r w:rsidR="00A823C8" w:rsidRPr="00A823C8">
        <w:rPr>
          <w:rFonts w:cs="Arial"/>
          <w:bCs/>
          <w:szCs w:val="28"/>
        </w:rPr>
        <w:t xml:space="preserve"> </w:t>
      </w:r>
      <w:r w:rsidR="000E5667" w:rsidRPr="00A823C8">
        <w:rPr>
          <w:rFonts w:cs="Arial"/>
          <w:bCs/>
          <w:szCs w:val="28"/>
        </w:rPr>
        <w:t>80, párrafo</w:t>
      </w:r>
      <w:r w:rsidR="00A823C8">
        <w:rPr>
          <w:rFonts w:cs="Arial"/>
          <w:bCs/>
          <w:szCs w:val="28"/>
        </w:rPr>
        <w:t>s</w:t>
      </w:r>
      <w:r w:rsidR="000E5667" w:rsidRPr="00A823C8">
        <w:rPr>
          <w:rFonts w:cs="Arial"/>
          <w:bCs/>
          <w:szCs w:val="28"/>
        </w:rPr>
        <w:t xml:space="preserve"> segundo</w:t>
      </w:r>
      <w:r w:rsidR="00A823C8">
        <w:rPr>
          <w:rFonts w:cs="Arial"/>
          <w:bCs/>
          <w:szCs w:val="28"/>
        </w:rPr>
        <w:t xml:space="preserve"> y tercero</w:t>
      </w:r>
      <w:r w:rsidR="000E5667" w:rsidRPr="00A823C8">
        <w:rPr>
          <w:rFonts w:cs="Arial"/>
          <w:bCs/>
          <w:szCs w:val="28"/>
        </w:rPr>
        <w:t>; 142, párrafo primero;</w:t>
      </w:r>
      <w:r w:rsidR="00A823C8">
        <w:rPr>
          <w:rFonts w:cs="Arial"/>
          <w:bCs/>
          <w:szCs w:val="28"/>
        </w:rPr>
        <w:t xml:space="preserve"> 146, fracciones II, IV y XXIV Bis; 153 y</w:t>
      </w:r>
      <w:r w:rsidR="000E5667" w:rsidRPr="00A823C8">
        <w:rPr>
          <w:rFonts w:cs="Arial"/>
          <w:bCs/>
          <w:szCs w:val="28"/>
        </w:rPr>
        <w:t xml:space="preserve"> 161 de la Ley de Instituciones y Procedimientos Electorales del Estado de Sinaloa</w:t>
      </w:r>
      <w:r w:rsidR="00A823C8">
        <w:rPr>
          <w:rFonts w:cs="Arial"/>
          <w:bCs/>
          <w:szCs w:val="28"/>
        </w:rPr>
        <w:t>,</w:t>
      </w:r>
      <w:r w:rsidR="000E5667" w:rsidRPr="00A823C8">
        <w:rPr>
          <w:rFonts w:cs="Arial"/>
          <w:bCs/>
          <w:szCs w:val="28"/>
        </w:rPr>
        <w:t xml:space="preserve"> así como el artículo único transitorio del decreto 454</w:t>
      </w:r>
      <w:r w:rsidRPr="00A823C8">
        <w:rPr>
          <w:rFonts w:cs="Arial"/>
          <w:szCs w:val="28"/>
        </w:rPr>
        <w:t xml:space="preserve"> </w:t>
      </w:r>
      <w:r w:rsidR="00A823C8">
        <w:rPr>
          <w:rFonts w:cs="Arial"/>
          <w:szCs w:val="28"/>
        </w:rPr>
        <w:t>porque</w:t>
      </w:r>
      <w:r w:rsidR="000E5667" w:rsidRPr="00A823C8">
        <w:rPr>
          <w:rFonts w:cs="Arial"/>
          <w:szCs w:val="28"/>
        </w:rPr>
        <w:t xml:space="preserve"> considera que el Congreso local invadió la competencia del Congreso de la Unión</w:t>
      </w:r>
      <w:r w:rsidR="00A823C8">
        <w:rPr>
          <w:rFonts w:cs="Arial"/>
          <w:szCs w:val="28"/>
        </w:rPr>
        <w:t xml:space="preserve"> </w:t>
      </w:r>
      <w:r w:rsidR="000E5667">
        <w:rPr>
          <w:rFonts w:cs="Arial"/>
          <w:szCs w:val="28"/>
        </w:rPr>
        <w:t>debido a que llevó</w:t>
      </w:r>
      <w:r w:rsidR="000E5667" w:rsidRPr="000E5667">
        <w:rPr>
          <w:rFonts w:cs="Arial"/>
          <w:szCs w:val="28"/>
        </w:rPr>
        <w:t xml:space="preserve"> a cabo procesos parlamentarios tendientes </w:t>
      </w:r>
      <w:r w:rsidR="000E5667" w:rsidRPr="000E5667">
        <w:rPr>
          <w:rFonts w:cs="Arial"/>
          <w:szCs w:val="28"/>
        </w:rPr>
        <w:lastRenderedPageBreak/>
        <w:t xml:space="preserve">a regular </w:t>
      </w:r>
      <w:r w:rsidR="00A823C8">
        <w:rPr>
          <w:rFonts w:cs="Arial"/>
          <w:szCs w:val="28"/>
        </w:rPr>
        <w:t xml:space="preserve">aspectos </w:t>
      </w:r>
      <w:r w:rsidR="000E5667" w:rsidRPr="000E5667">
        <w:rPr>
          <w:rFonts w:cs="Arial"/>
          <w:szCs w:val="28"/>
        </w:rPr>
        <w:t>de salubridad</w:t>
      </w:r>
      <w:r w:rsidR="00A823C8">
        <w:rPr>
          <w:rFonts w:cs="Arial"/>
          <w:szCs w:val="28"/>
        </w:rPr>
        <w:t>, como lo son las epidemias,</w:t>
      </w:r>
      <w:r w:rsidR="000E5667" w:rsidRPr="000E5667">
        <w:rPr>
          <w:rFonts w:cs="Arial"/>
          <w:szCs w:val="28"/>
        </w:rPr>
        <w:t xml:space="preserve"> </w:t>
      </w:r>
      <w:r w:rsidR="000E5667">
        <w:rPr>
          <w:rFonts w:cs="Arial"/>
          <w:szCs w:val="28"/>
        </w:rPr>
        <w:t>propios del Congreso de la Unión</w:t>
      </w:r>
      <w:r w:rsidR="000E5667" w:rsidRPr="000E5667">
        <w:rPr>
          <w:rFonts w:cs="Arial"/>
          <w:szCs w:val="28"/>
        </w:rPr>
        <w:t>.</w:t>
      </w:r>
    </w:p>
    <w:p w:rsidR="000E5667" w:rsidRDefault="000E5667" w:rsidP="003F4CF1">
      <w:pPr>
        <w:ind w:firstLine="708"/>
        <w:rPr>
          <w:rFonts w:cs="Arial"/>
          <w:szCs w:val="28"/>
        </w:rPr>
      </w:pPr>
    </w:p>
    <w:p w:rsidR="000E5667" w:rsidRPr="000E5667" w:rsidRDefault="000E5667" w:rsidP="003F4CF1">
      <w:pPr>
        <w:ind w:firstLine="708"/>
        <w:rPr>
          <w:rFonts w:cs="Arial"/>
          <w:szCs w:val="28"/>
        </w:rPr>
      </w:pPr>
      <w:r>
        <w:rPr>
          <w:rFonts w:cs="Arial"/>
          <w:szCs w:val="28"/>
        </w:rPr>
        <w:t>Además, al modificar las fechas de la emisión de la convocatoria por la pandemia del COVID-19</w:t>
      </w:r>
      <w:r w:rsidR="00A823C8">
        <w:rPr>
          <w:rFonts w:cs="Arial"/>
          <w:szCs w:val="28"/>
        </w:rPr>
        <w:t>,</w:t>
      </w:r>
      <w:r>
        <w:rPr>
          <w:rFonts w:cs="Arial"/>
          <w:szCs w:val="28"/>
        </w:rPr>
        <w:t xml:space="preserve"> </w:t>
      </w:r>
      <w:r w:rsidR="005B1A8B">
        <w:rPr>
          <w:rFonts w:cs="Arial"/>
          <w:szCs w:val="28"/>
        </w:rPr>
        <w:t xml:space="preserve">el Congreso local también </w:t>
      </w:r>
      <w:r>
        <w:rPr>
          <w:rFonts w:cs="Arial"/>
          <w:szCs w:val="28"/>
        </w:rPr>
        <w:t>invadió la esfera de competencias del Consejo de Salubridad General y de la Secretaría de Salud, razón por la cual los artículos impugnados son inconstitucionales.</w:t>
      </w:r>
    </w:p>
    <w:p w:rsidR="000E5667" w:rsidRPr="00B869F9" w:rsidRDefault="000E5667" w:rsidP="003F4CF1">
      <w:pPr>
        <w:ind w:firstLine="708"/>
        <w:rPr>
          <w:rFonts w:cs="Arial"/>
          <w:szCs w:val="28"/>
        </w:rPr>
      </w:pPr>
    </w:p>
    <w:p w:rsidR="000E5667" w:rsidRPr="005B1A8B" w:rsidRDefault="000E5667" w:rsidP="003F4CF1">
      <w:pPr>
        <w:ind w:firstLine="708"/>
        <w:rPr>
          <w:rFonts w:cs="Arial"/>
          <w:szCs w:val="28"/>
        </w:rPr>
      </w:pPr>
      <w:r w:rsidRPr="005B1A8B">
        <w:rPr>
          <w:rFonts w:cs="Arial"/>
          <w:szCs w:val="28"/>
        </w:rPr>
        <w:t>En su cuarto concepto de invalidez</w:t>
      </w:r>
      <w:r w:rsidR="005B1A8B" w:rsidRPr="005B1A8B">
        <w:rPr>
          <w:rFonts w:cs="Arial"/>
          <w:szCs w:val="28"/>
        </w:rPr>
        <w:t>, el Partido Sinaloense</w:t>
      </w:r>
      <w:r w:rsidRPr="005B1A8B">
        <w:rPr>
          <w:rFonts w:cs="Arial"/>
          <w:szCs w:val="28"/>
        </w:rPr>
        <w:t xml:space="preserve"> impugna los </w:t>
      </w:r>
      <w:r w:rsidR="005B1A8B">
        <w:rPr>
          <w:rFonts w:cs="Arial"/>
          <w:szCs w:val="28"/>
        </w:rPr>
        <w:t>artículos 18</w:t>
      </w:r>
      <w:r w:rsidR="0006034D">
        <w:rPr>
          <w:rFonts w:cs="Arial"/>
          <w:szCs w:val="28"/>
        </w:rPr>
        <w:t>, párrafo segundo</w:t>
      </w:r>
      <w:r w:rsidR="005B1A8B">
        <w:rPr>
          <w:rFonts w:cs="Arial"/>
          <w:szCs w:val="28"/>
        </w:rPr>
        <w:t>;</w:t>
      </w:r>
      <w:r w:rsidR="005B1A8B" w:rsidRPr="00A823C8">
        <w:rPr>
          <w:rFonts w:cs="Arial"/>
          <w:szCs w:val="28"/>
        </w:rPr>
        <w:t xml:space="preserve"> </w:t>
      </w:r>
      <w:r w:rsidR="005B1A8B" w:rsidRPr="00A823C8">
        <w:rPr>
          <w:rFonts w:cs="Arial"/>
          <w:bCs/>
          <w:szCs w:val="28"/>
        </w:rPr>
        <w:t>36, párrafos segundo y noveno; 79, párrafo segundo</w:t>
      </w:r>
      <w:r w:rsidR="005B1A8B">
        <w:rPr>
          <w:rFonts w:cs="Arial"/>
          <w:bCs/>
          <w:szCs w:val="28"/>
        </w:rPr>
        <w:t>;</w:t>
      </w:r>
      <w:r w:rsidR="005B1A8B" w:rsidRPr="00A823C8">
        <w:rPr>
          <w:rFonts w:cs="Arial"/>
          <w:bCs/>
          <w:szCs w:val="28"/>
        </w:rPr>
        <w:t xml:space="preserve"> 80, párrafo</w:t>
      </w:r>
      <w:r w:rsidR="005B1A8B">
        <w:rPr>
          <w:rFonts w:cs="Arial"/>
          <w:bCs/>
          <w:szCs w:val="28"/>
        </w:rPr>
        <w:t>s</w:t>
      </w:r>
      <w:r w:rsidR="005B1A8B" w:rsidRPr="00A823C8">
        <w:rPr>
          <w:rFonts w:cs="Arial"/>
          <w:bCs/>
          <w:szCs w:val="28"/>
        </w:rPr>
        <w:t xml:space="preserve"> segundo</w:t>
      </w:r>
      <w:r w:rsidR="005B1A8B">
        <w:rPr>
          <w:rFonts w:cs="Arial"/>
          <w:bCs/>
          <w:szCs w:val="28"/>
        </w:rPr>
        <w:t xml:space="preserve"> y tercero</w:t>
      </w:r>
      <w:r w:rsidR="005B1A8B" w:rsidRPr="00A823C8">
        <w:rPr>
          <w:rFonts w:cs="Arial"/>
          <w:bCs/>
          <w:szCs w:val="28"/>
        </w:rPr>
        <w:t>; 142, párrafo primero;</w:t>
      </w:r>
      <w:r w:rsidR="005B1A8B">
        <w:rPr>
          <w:rFonts w:cs="Arial"/>
          <w:bCs/>
          <w:szCs w:val="28"/>
        </w:rPr>
        <w:t xml:space="preserve"> 146, fracciones II, IV y XXIV Bis; 153 y</w:t>
      </w:r>
      <w:r w:rsidR="005B1A8B" w:rsidRPr="00A823C8">
        <w:rPr>
          <w:rFonts w:cs="Arial"/>
          <w:bCs/>
          <w:szCs w:val="28"/>
        </w:rPr>
        <w:t xml:space="preserve"> 161 de la Ley de Instituciones y Procedimientos Electorales del Estado de Sinaloa</w:t>
      </w:r>
      <w:r w:rsidR="005B1A8B">
        <w:rPr>
          <w:rFonts w:cs="Arial"/>
          <w:bCs/>
          <w:szCs w:val="28"/>
        </w:rPr>
        <w:t>,</w:t>
      </w:r>
      <w:r w:rsidR="005B1A8B" w:rsidRPr="00A823C8">
        <w:rPr>
          <w:rFonts w:cs="Arial"/>
          <w:bCs/>
          <w:szCs w:val="28"/>
        </w:rPr>
        <w:t xml:space="preserve"> así como el artículo único transitorio del decreto 454</w:t>
      </w:r>
      <w:r w:rsidR="005B1A8B">
        <w:rPr>
          <w:rFonts w:cs="Arial"/>
          <w:bCs/>
          <w:szCs w:val="28"/>
        </w:rPr>
        <w:t xml:space="preserve"> </w:t>
      </w:r>
      <w:r w:rsidR="005B1A8B">
        <w:rPr>
          <w:rFonts w:cs="Arial"/>
          <w:szCs w:val="28"/>
        </w:rPr>
        <w:t>por</w:t>
      </w:r>
      <w:r w:rsidR="00584618">
        <w:rPr>
          <w:rFonts w:cs="Arial"/>
          <w:szCs w:val="28"/>
        </w:rPr>
        <w:t>que</w:t>
      </w:r>
      <w:r w:rsidR="005B1A8B">
        <w:rPr>
          <w:rFonts w:cs="Arial"/>
          <w:szCs w:val="28"/>
        </w:rPr>
        <w:t xml:space="preserve"> en su opinión vulnera</w:t>
      </w:r>
      <w:r w:rsidRPr="005B1A8B">
        <w:rPr>
          <w:rFonts w:cs="Arial"/>
          <w:szCs w:val="28"/>
        </w:rPr>
        <w:t xml:space="preserve"> el </w:t>
      </w:r>
      <w:r w:rsidR="00611D8B" w:rsidRPr="005B1A8B">
        <w:rPr>
          <w:rFonts w:cs="Arial"/>
          <w:szCs w:val="28"/>
        </w:rPr>
        <w:t>pluralismo jurídico.</w:t>
      </w:r>
    </w:p>
    <w:p w:rsidR="00611D8B" w:rsidRDefault="00611D8B" w:rsidP="003F4CF1">
      <w:pPr>
        <w:ind w:firstLine="708"/>
        <w:rPr>
          <w:rFonts w:cs="Arial"/>
          <w:szCs w:val="28"/>
        </w:rPr>
      </w:pPr>
    </w:p>
    <w:p w:rsidR="00611D8B" w:rsidRDefault="005B1A8B" w:rsidP="003F4CF1">
      <w:pPr>
        <w:ind w:firstLine="708"/>
        <w:rPr>
          <w:rFonts w:cs="Arial"/>
          <w:szCs w:val="28"/>
        </w:rPr>
      </w:pPr>
      <w:r>
        <w:rPr>
          <w:rFonts w:cs="Arial"/>
          <w:szCs w:val="28"/>
        </w:rPr>
        <w:t>Desde su perspectiva, las disposiciones normativas impugnadas</w:t>
      </w:r>
      <w:r w:rsidR="00611D8B" w:rsidRPr="00611D8B">
        <w:rPr>
          <w:rFonts w:cs="Arial"/>
          <w:szCs w:val="28"/>
        </w:rPr>
        <w:t xml:space="preserve"> menoscaban la libre determinación y autonom</w:t>
      </w:r>
      <w:r>
        <w:rPr>
          <w:rFonts w:cs="Arial"/>
          <w:szCs w:val="28"/>
        </w:rPr>
        <w:t>ía de las comunidades indígenas e</w:t>
      </w:r>
      <w:r w:rsidR="00611D8B" w:rsidRPr="00611D8B">
        <w:rPr>
          <w:rFonts w:cs="Arial"/>
          <w:szCs w:val="28"/>
        </w:rPr>
        <w:t xml:space="preserve"> infringen el pluralismo </w:t>
      </w:r>
      <w:r w:rsidR="0006034D" w:rsidRPr="0006034D">
        <w:rPr>
          <w:rFonts w:cs="Arial"/>
          <w:szCs w:val="28"/>
        </w:rPr>
        <w:t>porqu</w:t>
      </w:r>
      <w:r w:rsidR="0006034D">
        <w:rPr>
          <w:rFonts w:cs="Arial"/>
          <w:szCs w:val="28"/>
        </w:rPr>
        <w:t>e incrustan un proceso electivo</w:t>
      </w:r>
      <w:r w:rsidR="0006034D" w:rsidRPr="0006034D">
        <w:rPr>
          <w:rFonts w:cs="Arial"/>
          <w:szCs w:val="28"/>
        </w:rPr>
        <w:t xml:space="preserve"> por usos y costumbres en un proceso electoral propio de la democracia indirecta, es decir</w:t>
      </w:r>
      <w:r w:rsidR="0006034D">
        <w:rPr>
          <w:rFonts w:cs="Arial"/>
          <w:szCs w:val="28"/>
        </w:rPr>
        <w:t>,</w:t>
      </w:r>
      <w:r w:rsidR="0006034D" w:rsidRPr="0006034D">
        <w:rPr>
          <w:rFonts w:cs="Arial"/>
          <w:szCs w:val="28"/>
        </w:rPr>
        <w:t xml:space="preserve"> aquel que corresponde a los partidos políticos y candidatos independientes.</w:t>
      </w:r>
    </w:p>
    <w:p w:rsidR="0006034D" w:rsidRDefault="0006034D" w:rsidP="003F4CF1">
      <w:pPr>
        <w:ind w:firstLine="708"/>
        <w:rPr>
          <w:rFonts w:cs="Arial"/>
          <w:szCs w:val="28"/>
        </w:rPr>
      </w:pPr>
    </w:p>
    <w:p w:rsidR="00611D8B" w:rsidRPr="00611D8B" w:rsidRDefault="00611D8B" w:rsidP="003F4CF1">
      <w:pPr>
        <w:ind w:firstLine="708"/>
        <w:rPr>
          <w:rFonts w:cs="Arial"/>
          <w:szCs w:val="28"/>
        </w:rPr>
      </w:pPr>
      <w:r>
        <w:rPr>
          <w:rFonts w:cs="Arial"/>
          <w:szCs w:val="28"/>
        </w:rPr>
        <w:t xml:space="preserve">Finalmente, </w:t>
      </w:r>
      <w:r w:rsidR="005B1A8B">
        <w:rPr>
          <w:rFonts w:cs="Arial"/>
          <w:szCs w:val="28"/>
        </w:rPr>
        <w:t>e</w:t>
      </w:r>
      <w:r w:rsidRPr="00611D8B">
        <w:rPr>
          <w:rFonts w:cs="Arial"/>
          <w:szCs w:val="28"/>
        </w:rPr>
        <w:t xml:space="preserve">n su </w:t>
      </w:r>
      <w:r>
        <w:rPr>
          <w:rFonts w:cs="Arial"/>
          <w:szCs w:val="28"/>
        </w:rPr>
        <w:t xml:space="preserve">quinto </w:t>
      </w:r>
      <w:r w:rsidRPr="00611D8B">
        <w:rPr>
          <w:rFonts w:cs="Arial"/>
          <w:szCs w:val="28"/>
        </w:rPr>
        <w:t xml:space="preserve">concepto de invalidez </w:t>
      </w:r>
      <w:r w:rsidR="00C66B46">
        <w:rPr>
          <w:rFonts w:cs="Arial"/>
          <w:szCs w:val="28"/>
        </w:rPr>
        <w:t xml:space="preserve">el partido político </w:t>
      </w:r>
      <w:r w:rsidRPr="00611D8B">
        <w:rPr>
          <w:rFonts w:cs="Arial"/>
          <w:szCs w:val="28"/>
        </w:rPr>
        <w:t xml:space="preserve">impugna </w:t>
      </w:r>
      <w:r w:rsidR="00C66B46">
        <w:rPr>
          <w:rFonts w:cs="Arial"/>
          <w:szCs w:val="28"/>
        </w:rPr>
        <w:t xml:space="preserve">los </w:t>
      </w:r>
      <w:r w:rsidR="005B1A8B">
        <w:rPr>
          <w:rFonts w:cs="Arial"/>
          <w:szCs w:val="28"/>
        </w:rPr>
        <w:t>artículos 18</w:t>
      </w:r>
      <w:r w:rsidR="0006034D">
        <w:rPr>
          <w:rFonts w:cs="Arial"/>
          <w:szCs w:val="28"/>
        </w:rPr>
        <w:t>, párrafo segundo</w:t>
      </w:r>
      <w:r w:rsidR="005B1A8B">
        <w:rPr>
          <w:rFonts w:cs="Arial"/>
          <w:szCs w:val="28"/>
        </w:rPr>
        <w:t>;</w:t>
      </w:r>
      <w:r w:rsidR="005B1A8B" w:rsidRPr="00A823C8">
        <w:rPr>
          <w:rFonts w:cs="Arial"/>
          <w:szCs w:val="28"/>
        </w:rPr>
        <w:t xml:space="preserve"> </w:t>
      </w:r>
      <w:r w:rsidR="005B1A8B" w:rsidRPr="00A823C8">
        <w:rPr>
          <w:rFonts w:cs="Arial"/>
          <w:bCs/>
          <w:szCs w:val="28"/>
        </w:rPr>
        <w:t>36, párrafos segundo y noveno; 79, párrafo segundo</w:t>
      </w:r>
      <w:r w:rsidR="005B1A8B">
        <w:rPr>
          <w:rFonts w:cs="Arial"/>
          <w:bCs/>
          <w:szCs w:val="28"/>
        </w:rPr>
        <w:t>;</w:t>
      </w:r>
      <w:r w:rsidR="005B1A8B" w:rsidRPr="00A823C8">
        <w:rPr>
          <w:rFonts w:cs="Arial"/>
          <w:bCs/>
          <w:szCs w:val="28"/>
        </w:rPr>
        <w:t xml:space="preserve"> 80, párrafo</w:t>
      </w:r>
      <w:r w:rsidR="005B1A8B">
        <w:rPr>
          <w:rFonts w:cs="Arial"/>
          <w:bCs/>
          <w:szCs w:val="28"/>
        </w:rPr>
        <w:t>s</w:t>
      </w:r>
      <w:r w:rsidR="005B1A8B" w:rsidRPr="00A823C8">
        <w:rPr>
          <w:rFonts w:cs="Arial"/>
          <w:bCs/>
          <w:szCs w:val="28"/>
        </w:rPr>
        <w:t xml:space="preserve"> segundo</w:t>
      </w:r>
      <w:r w:rsidR="005B1A8B">
        <w:rPr>
          <w:rFonts w:cs="Arial"/>
          <w:bCs/>
          <w:szCs w:val="28"/>
        </w:rPr>
        <w:t xml:space="preserve"> y tercero</w:t>
      </w:r>
      <w:r w:rsidR="005B1A8B" w:rsidRPr="00A823C8">
        <w:rPr>
          <w:rFonts w:cs="Arial"/>
          <w:bCs/>
          <w:szCs w:val="28"/>
        </w:rPr>
        <w:t>; 142, párrafo primero;</w:t>
      </w:r>
      <w:r w:rsidR="005B1A8B">
        <w:rPr>
          <w:rFonts w:cs="Arial"/>
          <w:bCs/>
          <w:szCs w:val="28"/>
        </w:rPr>
        <w:t xml:space="preserve"> 146, fracciones II, IV y XXIV Bis; 153 y</w:t>
      </w:r>
      <w:r w:rsidR="005B1A8B" w:rsidRPr="00A823C8">
        <w:rPr>
          <w:rFonts w:cs="Arial"/>
          <w:bCs/>
          <w:szCs w:val="28"/>
        </w:rPr>
        <w:t xml:space="preserve"> 161 de la Ley de Instituciones y Procedimientos Electorales del Estado de Sinaloa</w:t>
      </w:r>
      <w:r w:rsidR="005B1A8B">
        <w:rPr>
          <w:rFonts w:cs="Arial"/>
          <w:bCs/>
          <w:szCs w:val="28"/>
        </w:rPr>
        <w:t>,</w:t>
      </w:r>
      <w:r w:rsidR="005B1A8B" w:rsidRPr="00A823C8">
        <w:rPr>
          <w:rFonts w:cs="Arial"/>
          <w:bCs/>
          <w:szCs w:val="28"/>
        </w:rPr>
        <w:t xml:space="preserve"> así como el artículo único transitorio del decreto 454</w:t>
      </w:r>
      <w:r w:rsidR="005B1A8B">
        <w:rPr>
          <w:rFonts w:cs="Arial"/>
          <w:bCs/>
          <w:szCs w:val="28"/>
        </w:rPr>
        <w:t>,</w:t>
      </w:r>
      <w:r w:rsidRPr="00611D8B">
        <w:rPr>
          <w:rFonts w:cs="Arial"/>
          <w:b/>
          <w:szCs w:val="28"/>
        </w:rPr>
        <w:t xml:space="preserve"> </w:t>
      </w:r>
      <w:r w:rsidR="00C66B46">
        <w:rPr>
          <w:rFonts w:cs="Arial"/>
          <w:szCs w:val="28"/>
        </w:rPr>
        <w:t>ya que en su opinión</w:t>
      </w:r>
      <w:r>
        <w:rPr>
          <w:rFonts w:cs="Arial"/>
          <w:szCs w:val="28"/>
        </w:rPr>
        <w:t xml:space="preserve"> </w:t>
      </w:r>
      <w:r w:rsidR="005B1A8B">
        <w:rPr>
          <w:rFonts w:cs="Arial"/>
          <w:szCs w:val="28"/>
        </w:rPr>
        <w:t>el</w:t>
      </w:r>
      <w:r>
        <w:rPr>
          <w:rFonts w:cs="Arial"/>
          <w:szCs w:val="28"/>
        </w:rPr>
        <w:t xml:space="preserve"> proceso legislativo</w:t>
      </w:r>
      <w:r w:rsidR="005B1A8B">
        <w:rPr>
          <w:rFonts w:cs="Arial"/>
          <w:szCs w:val="28"/>
        </w:rPr>
        <w:t xml:space="preserve"> no fue llevado a cabo correctamente</w:t>
      </w:r>
      <w:r>
        <w:rPr>
          <w:rFonts w:cs="Arial"/>
          <w:szCs w:val="28"/>
        </w:rPr>
        <w:t>.</w:t>
      </w:r>
    </w:p>
    <w:p w:rsidR="000E5667" w:rsidRDefault="000E5667" w:rsidP="003F4CF1">
      <w:pPr>
        <w:ind w:firstLine="708"/>
        <w:rPr>
          <w:rFonts w:cs="Arial"/>
          <w:szCs w:val="28"/>
        </w:rPr>
      </w:pPr>
    </w:p>
    <w:p w:rsidR="00611D8B" w:rsidRPr="00611D8B" w:rsidRDefault="00C66B46" w:rsidP="003F4CF1">
      <w:pPr>
        <w:ind w:firstLine="708"/>
        <w:rPr>
          <w:rFonts w:cs="Arial"/>
          <w:szCs w:val="28"/>
        </w:rPr>
      </w:pPr>
      <w:r>
        <w:rPr>
          <w:rFonts w:cs="Arial"/>
          <w:szCs w:val="28"/>
        </w:rPr>
        <w:t>Lo anterior porque la realización del procedimiento legislativo en sí misma es contraria a</w:t>
      </w:r>
      <w:r w:rsidR="00611D8B" w:rsidRPr="00611D8B">
        <w:rPr>
          <w:rFonts w:cs="Arial"/>
          <w:szCs w:val="28"/>
        </w:rPr>
        <w:t xml:space="preserve"> los artículos 40 y 115, pár</w:t>
      </w:r>
      <w:r w:rsidR="00611D8B">
        <w:rPr>
          <w:rFonts w:cs="Arial"/>
          <w:szCs w:val="28"/>
        </w:rPr>
        <w:t>rafo primero</w:t>
      </w:r>
      <w:r>
        <w:rPr>
          <w:rFonts w:cs="Arial"/>
          <w:szCs w:val="28"/>
        </w:rPr>
        <w:t>,</w:t>
      </w:r>
      <w:r w:rsidR="00611D8B">
        <w:rPr>
          <w:rFonts w:cs="Arial"/>
          <w:szCs w:val="28"/>
        </w:rPr>
        <w:t xml:space="preserve"> de la Constitución </w:t>
      </w:r>
      <w:r w:rsidR="00810923">
        <w:rPr>
          <w:rFonts w:cs="Arial"/>
          <w:szCs w:val="28"/>
        </w:rPr>
        <w:t xml:space="preserve">General </w:t>
      </w:r>
      <w:r w:rsidRPr="00611D8B">
        <w:rPr>
          <w:rFonts w:cs="Arial"/>
          <w:szCs w:val="28"/>
        </w:rPr>
        <w:t xml:space="preserve">debido </w:t>
      </w:r>
      <w:r w:rsidR="00410C8A">
        <w:rPr>
          <w:rFonts w:cs="Arial"/>
          <w:szCs w:val="28"/>
        </w:rPr>
        <w:t xml:space="preserve">a </w:t>
      </w:r>
      <w:r w:rsidR="00611D8B">
        <w:rPr>
          <w:rFonts w:cs="Arial"/>
          <w:szCs w:val="28"/>
        </w:rPr>
        <w:t>que en la</w:t>
      </w:r>
      <w:r w:rsidR="00611D8B" w:rsidRPr="00611D8B">
        <w:rPr>
          <w:rFonts w:cs="Arial"/>
          <w:szCs w:val="28"/>
        </w:rPr>
        <w:t xml:space="preserve"> misma sesión </w:t>
      </w:r>
      <w:r>
        <w:rPr>
          <w:rFonts w:cs="Arial"/>
          <w:szCs w:val="28"/>
        </w:rPr>
        <w:t>se llevó a cabo</w:t>
      </w:r>
      <w:r w:rsidR="00611D8B">
        <w:rPr>
          <w:rFonts w:cs="Arial"/>
          <w:szCs w:val="28"/>
        </w:rPr>
        <w:t xml:space="preserve"> la </w:t>
      </w:r>
      <w:r w:rsidR="00611D8B" w:rsidRPr="00611D8B">
        <w:rPr>
          <w:rFonts w:cs="Arial"/>
          <w:szCs w:val="28"/>
        </w:rPr>
        <w:t>primera lectura</w:t>
      </w:r>
      <w:r>
        <w:rPr>
          <w:rFonts w:cs="Arial"/>
          <w:szCs w:val="28"/>
        </w:rPr>
        <w:t xml:space="preserve"> de la iniciativa de reformas</w:t>
      </w:r>
      <w:r w:rsidR="00611D8B">
        <w:rPr>
          <w:rFonts w:cs="Arial"/>
          <w:szCs w:val="28"/>
        </w:rPr>
        <w:t xml:space="preserve">, </w:t>
      </w:r>
      <w:r>
        <w:rPr>
          <w:rFonts w:cs="Arial"/>
          <w:szCs w:val="28"/>
        </w:rPr>
        <w:t xml:space="preserve">fue turnada a las </w:t>
      </w:r>
      <w:r w:rsidR="00611D8B" w:rsidRPr="00611D8B">
        <w:rPr>
          <w:rFonts w:cs="Arial"/>
          <w:szCs w:val="28"/>
        </w:rPr>
        <w:lastRenderedPageBreak/>
        <w:t xml:space="preserve">comisiones </w:t>
      </w:r>
      <w:r>
        <w:rPr>
          <w:rFonts w:cs="Arial"/>
          <w:szCs w:val="28"/>
        </w:rPr>
        <w:t>dictaminadoras, presentado por ellas</w:t>
      </w:r>
      <w:r w:rsidR="00611D8B">
        <w:rPr>
          <w:rFonts w:cs="Arial"/>
          <w:szCs w:val="28"/>
        </w:rPr>
        <w:t xml:space="preserve"> el </w:t>
      </w:r>
      <w:r w:rsidR="00611D8B" w:rsidRPr="00611D8B">
        <w:rPr>
          <w:rFonts w:cs="Arial"/>
          <w:szCs w:val="28"/>
        </w:rPr>
        <w:t>dictamen respectivo</w:t>
      </w:r>
      <w:r>
        <w:rPr>
          <w:rFonts w:cs="Arial"/>
          <w:szCs w:val="28"/>
        </w:rPr>
        <w:t xml:space="preserve"> y aprobada la reforma sobre </w:t>
      </w:r>
      <w:r w:rsidR="00611D8B" w:rsidRPr="00611D8B">
        <w:rPr>
          <w:rFonts w:cs="Arial"/>
          <w:szCs w:val="28"/>
        </w:rPr>
        <w:t>un tema de extrema relev</w:t>
      </w:r>
      <w:r w:rsidR="00611D8B">
        <w:rPr>
          <w:rFonts w:cs="Arial"/>
          <w:szCs w:val="28"/>
        </w:rPr>
        <w:t xml:space="preserve">ancia como </w:t>
      </w:r>
      <w:r>
        <w:rPr>
          <w:rFonts w:cs="Arial"/>
          <w:szCs w:val="28"/>
        </w:rPr>
        <w:t xml:space="preserve">lo es </w:t>
      </w:r>
      <w:r w:rsidR="00611D8B">
        <w:rPr>
          <w:rFonts w:cs="Arial"/>
          <w:szCs w:val="28"/>
        </w:rPr>
        <w:t>el proceso electoral.</w:t>
      </w:r>
    </w:p>
    <w:p w:rsidR="00611D8B" w:rsidRPr="00611D8B" w:rsidRDefault="00611D8B" w:rsidP="003F4CF1">
      <w:pPr>
        <w:ind w:firstLine="708"/>
        <w:rPr>
          <w:rFonts w:cs="Arial"/>
          <w:szCs w:val="28"/>
        </w:rPr>
      </w:pPr>
    </w:p>
    <w:p w:rsidR="00611D8B" w:rsidRPr="00611D8B" w:rsidRDefault="00410C8A" w:rsidP="003F4CF1">
      <w:pPr>
        <w:ind w:firstLine="708"/>
        <w:rPr>
          <w:rFonts w:cs="Arial"/>
          <w:szCs w:val="28"/>
        </w:rPr>
      </w:pPr>
      <w:r>
        <w:rPr>
          <w:rFonts w:cs="Arial"/>
          <w:szCs w:val="28"/>
        </w:rPr>
        <w:t>Agrega que e</w:t>
      </w:r>
      <w:r w:rsidR="00611D8B" w:rsidRPr="00611D8B">
        <w:rPr>
          <w:rFonts w:cs="Arial"/>
          <w:szCs w:val="28"/>
        </w:rPr>
        <w:t>l proceso legislativo que originó las disposiciones impugnas vulnera los artículos 2,</w:t>
      </w:r>
      <w:r>
        <w:rPr>
          <w:rFonts w:cs="Arial"/>
          <w:szCs w:val="28"/>
        </w:rPr>
        <w:t xml:space="preserve"> </w:t>
      </w:r>
      <w:r w:rsidR="00611D8B" w:rsidRPr="00611D8B">
        <w:rPr>
          <w:rFonts w:cs="Arial"/>
          <w:szCs w:val="28"/>
        </w:rPr>
        <w:t>3 y 13 de la Carta Democrática Interamericana y</w:t>
      </w:r>
      <w:r>
        <w:rPr>
          <w:rFonts w:cs="Arial"/>
          <w:szCs w:val="28"/>
        </w:rPr>
        <w:t>,</w:t>
      </w:r>
      <w:r w:rsidR="00611D8B" w:rsidRPr="00611D8B">
        <w:rPr>
          <w:rFonts w:cs="Arial"/>
          <w:szCs w:val="28"/>
        </w:rPr>
        <w:t xml:space="preserve"> por ende</w:t>
      </w:r>
      <w:r>
        <w:rPr>
          <w:rFonts w:cs="Arial"/>
          <w:szCs w:val="28"/>
        </w:rPr>
        <w:t>,</w:t>
      </w:r>
      <w:r w:rsidR="00611D8B" w:rsidRPr="00611D8B">
        <w:rPr>
          <w:rFonts w:cs="Arial"/>
          <w:szCs w:val="28"/>
        </w:rPr>
        <w:t xml:space="preserve"> los derechos culturales de las comunidades indígenas porque someten </w:t>
      </w:r>
      <w:r>
        <w:rPr>
          <w:rFonts w:cs="Arial"/>
          <w:szCs w:val="28"/>
        </w:rPr>
        <w:t xml:space="preserve">a sus integrantes </w:t>
      </w:r>
      <w:r w:rsidR="00611D8B" w:rsidRPr="00611D8B">
        <w:rPr>
          <w:rFonts w:cs="Arial"/>
          <w:szCs w:val="28"/>
        </w:rPr>
        <w:t>a las reglas de la democracia indirecta</w:t>
      </w:r>
      <w:r>
        <w:rPr>
          <w:rFonts w:cs="Arial"/>
          <w:szCs w:val="28"/>
        </w:rPr>
        <w:t>, en contravención d</w:t>
      </w:r>
      <w:r w:rsidR="00611D8B" w:rsidRPr="00611D8B">
        <w:rPr>
          <w:rFonts w:cs="Arial"/>
          <w:szCs w:val="28"/>
        </w:rPr>
        <w:t>el derecho a la libre determinación y autonomía.</w:t>
      </w:r>
    </w:p>
    <w:p w:rsidR="00611D8B" w:rsidRPr="00611D8B" w:rsidRDefault="00611D8B" w:rsidP="003F4CF1">
      <w:pPr>
        <w:ind w:firstLine="708"/>
        <w:rPr>
          <w:rFonts w:cs="Arial"/>
          <w:szCs w:val="28"/>
        </w:rPr>
      </w:pPr>
    </w:p>
    <w:p w:rsidR="00410C8A" w:rsidRDefault="00410C8A" w:rsidP="003F4CF1">
      <w:pPr>
        <w:pStyle w:val="Ttulo2"/>
        <w:rPr>
          <w:rFonts w:cs="Arial"/>
          <w:szCs w:val="28"/>
        </w:rPr>
      </w:pPr>
      <w:r w:rsidRPr="00410C8A">
        <w:t>TERCERO. Informes de los Poderes Legislativo</w:t>
      </w:r>
      <w:r>
        <w:t xml:space="preserve"> y</w:t>
      </w:r>
      <w:r w:rsidRPr="00410C8A">
        <w:t xml:space="preserve"> Ejecutivo del Estado </w:t>
      </w:r>
      <w:r>
        <w:t xml:space="preserve">de Sinaloa. </w:t>
      </w:r>
      <w:r>
        <w:rPr>
          <w:rFonts w:cs="Arial"/>
          <w:b w:val="0"/>
          <w:szCs w:val="28"/>
        </w:rPr>
        <w:t>En</w:t>
      </w:r>
      <w:r w:rsidRPr="00410C8A">
        <w:rPr>
          <w:rFonts w:cs="Arial"/>
          <w:b w:val="0"/>
          <w:szCs w:val="28"/>
        </w:rPr>
        <w:t xml:space="preserve"> su informe, el Poder Legislativo del Estado de Sinaloa manifestó lo siguiente.</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En primer término</w:t>
      </w:r>
      <w:r w:rsidR="00FE314F">
        <w:rPr>
          <w:rFonts w:cs="Arial"/>
          <w:sz w:val="28"/>
          <w:szCs w:val="28"/>
        </w:rPr>
        <w:t>, el le</w:t>
      </w:r>
      <w:r w:rsidR="00C410D0">
        <w:rPr>
          <w:rFonts w:cs="Arial"/>
          <w:sz w:val="28"/>
          <w:szCs w:val="28"/>
        </w:rPr>
        <w:t>gislativo local</w:t>
      </w:r>
      <w:r>
        <w:rPr>
          <w:rFonts w:cs="Arial"/>
          <w:sz w:val="28"/>
          <w:szCs w:val="28"/>
        </w:rPr>
        <w:t xml:space="preserve"> </w:t>
      </w:r>
      <w:r w:rsidR="00C410D0">
        <w:rPr>
          <w:rFonts w:cs="Arial"/>
          <w:sz w:val="28"/>
          <w:szCs w:val="28"/>
        </w:rPr>
        <w:t>considera aplicable</w:t>
      </w:r>
      <w:r>
        <w:rPr>
          <w:rFonts w:cs="Arial"/>
          <w:sz w:val="28"/>
          <w:szCs w:val="28"/>
        </w:rPr>
        <w:t xml:space="preserve"> la causa de improcedencia relativa a </w:t>
      </w:r>
      <w:r w:rsidR="00C410D0">
        <w:rPr>
          <w:rFonts w:cs="Arial"/>
          <w:sz w:val="28"/>
          <w:szCs w:val="28"/>
        </w:rPr>
        <w:t xml:space="preserve">inexistencia de la disposición normativa impugnada </w:t>
      </w:r>
      <w:r w:rsidR="00503B62">
        <w:rPr>
          <w:rFonts w:cs="Arial"/>
          <w:sz w:val="28"/>
          <w:szCs w:val="28"/>
        </w:rPr>
        <w:t xml:space="preserve">establecida por la fracción III del artículo 20, en relación con el artículo 65 </w:t>
      </w:r>
      <w:r w:rsidR="007E533B">
        <w:rPr>
          <w:rFonts w:cs="Arial"/>
          <w:sz w:val="28"/>
          <w:szCs w:val="28"/>
        </w:rPr>
        <w:t>de la Ley Reglamentaria de las F</w:t>
      </w:r>
      <w:r w:rsidR="00503B62">
        <w:rPr>
          <w:rFonts w:cs="Arial"/>
          <w:sz w:val="28"/>
          <w:szCs w:val="28"/>
        </w:rPr>
        <w:t>racciones I y II del Artículo 105 de la Constitución Política de los Estados Unidos Mexicanos</w:t>
      </w:r>
      <w:r>
        <w:rPr>
          <w:rFonts w:cs="Arial"/>
          <w:sz w:val="28"/>
          <w:szCs w:val="28"/>
        </w:rPr>
        <w:t xml:space="preserve">. </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 xml:space="preserve">Lo anterior </w:t>
      </w:r>
      <w:r w:rsidR="00503B62">
        <w:rPr>
          <w:rFonts w:cs="Arial"/>
          <w:sz w:val="28"/>
          <w:szCs w:val="28"/>
        </w:rPr>
        <w:t>porque</w:t>
      </w:r>
      <w:r>
        <w:rPr>
          <w:rFonts w:cs="Arial"/>
          <w:sz w:val="28"/>
          <w:szCs w:val="28"/>
        </w:rPr>
        <w:t xml:space="preserve"> el partido </w:t>
      </w:r>
      <w:r w:rsidR="00503B62">
        <w:rPr>
          <w:rFonts w:cs="Arial"/>
          <w:sz w:val="28"/>
          <w:szCs w:val="28"/>
        </w:rPr>
        <w:t xml:space="preserve">demandante </w:t>
      </w:r>
      <w:r w:rsidR="00F97EC3">
        <w:rPr>
          <w:rFonts w:cs="Arial"/>
          <w:sz w:val="28"/>
          <w:szCs w:val="28"/>
        </w:rPr>
        <w:t xml:space="preserve">atribuye </w:t>
      </w:r>
      <w:r>
        <w:rPr>
          <w:rFonts w:cs="Arial"/>
          <w:sz w:val="28"/>
          <w:szCs w:val="28"/>
        </w:rPr>
        <w:t>un significado distinto a los artículos impugnados</w:t>
      </w:r>
      <w:r w:rsidR="00503B62">
        <w:rPr>
          <w:rFonts w:cs="Arial"/>
          <w:sz w:val="28"/>
          <w:szCs w:val="28"/>
        </w:rPr>
        <w:t xml:space="preserve">, </w:t>
      </w:r>
      <w:r w:rsidR="00F97EC3">
        <w:rPr>
          <w:rFonts w:cs="Arial"/>
          <w:sz w:val="28"/>
          <w:szCs w:val="28"/>
        </w:rPr>
        <w:t>los cuales</w:t>
      </w:r>
      <w:r>
        <w:rPr>
          <w:rFonts w:cs="Arial"/>
          <w:sz w:val="28"/>
          <w:szCs w:val="28"/>
        </w:rPr>
        <w:t xml:space="preserve"> en realidad no prevén que los representantes de comunidades indígenas ante los ayuntamientos se deben elegir mediante voto universal, libre, secreto y directo.</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 xml:space="preserve">Por ejemplo, </w:t>
      </w:r>
      <w:r w:rsidR="00F97EC3">
        <w:rPr>
          <w:rFonts w:cs="Arial"/>
          <w:sz w:val="28"/>
          <w:szCs w:val="28"/>
        </w:rPr>
        <w:t xml:space="preserve">en </w:t>
      </w:r>
      <w:r>
        <w:rPr>
          <w:rFonts w:cs="Arial"/>
          <w:sz w:val="28"/>
          <w:szCs w:val="28"/>
        </w:rPr>
        <w:t xml:space="preserve">el artículo 18 de la Ley de Instituciones y Procedimientos Electorales para el Estado de Sinaloa </w:t>
      </w:r>
      <w:r w:rsidR="00442849">
        <w:rPr>
          <w:rFonts w:cs="Arial"/>
          <w:sz w:val="28"/>
          <w:szCs w:val="28"/>
        </w:rPr>
        <w:t>es establecido</w:t>
      </w:r>
      <w:r>
        <w:rPr>
          <w:rFonts w:cs="Arial"/>
          <w:sz w:val="28"/>
          <w:szCs w:val="28"/>
        </w:rPr>
        <w:t xml:space="preserve"> que </w:t>
      </w:r>
      <w:r w:rsidRPr="00442849">
        <w:rPr>
          <w:rFonts w:cs="Arial"/>
          <w:i/>
          <w:sz w:val="28"/>
          <w:szCs w:val="28"/>
        </w:rPr>
        <w:t>“El Congreso del Estado convocará a elecciones dentro de la primera quincena del mes de diciembre del año previo a la elección”</w:t>
      </w:r>
      <w:r>
        <w:rPr>
          <w:rFonts w:cs="Arial"/>
          <w:sz w:val="28"/>
          <w:szCs w:val="28"/>
        </w:rPr>
        <w:t xml:space="preserve">, </w:t>
      </w:r>
      <w:r w:rsidR="00442849">
        <w:rPr>
          <w:rFonts w:cs="Arial"/>
          <w:sz w:val="28"/>
          <w:szCs w:val="28"/>
        </w:rPr>
        <w:t>por lo que no dispone</w:t>
      </w:r>
      <w:r>
        <w:rPr>
          <w:rFonts w:cs="Arial"/>
          <w:sz w:val="28"/>
          <w:szCs w:val="28"/>
        </w:rPr>
        <w:t xml:space="preserve"> que los candidatos a representantes de comunidades indígenas aparecerán en las boletas electorales, ni que serán electos de la misma forma que los demás integrantes del cabildo.</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lastRenderedPageBreak/>
        <w:t>Por otro lado, el Congreso local argumenta que las interpretaciones erróneas o los supuestos de actos de aplicación hipotéticos escapan del objeto de las a</w:t>
      </w:r>
      <w:r w:rsidR="000115AF">
        <w:rPr>
          <w:rFonts w:cs="Arial"/>
          <w:sz w:val="28"/>
          <w:szCs w:val="28"/>
        </w:rPr>
        <w:t>ccione</w:t>
      </w:r>
      <w:r w:rsidR="00483BE0">
        <w:rPr>
          <w:rFonts w:cs="Arial"/>
          <w:sz w:val="28"/>
          <w:szCs w:val="28"/>
        </w:rPr>
        <w:t>s de inconstitucionalidad, pues,</w:t>
      </w:r>
      <w:r w:rsidR="000115AF">
        <w:rPr>
          <w:rFonts w:cs="Arial"/>
          <w:sz w:val="28"/>
          <w:szCs w:val="28"/>
        </w:rPr>
        <w:t xml:space="preserve"> </w:t>
      </w:r>
      <w:r>
        <w:rPr>
          <w:rFonts w:cs="Arial"/>
          <w:sz w:val="28"/>
          <w:szCs w:val="28"/>
        </w:rPr>
        <w:t xml:space="preserve">en todo caso, si un acto de aplicación de </w:t>
      </w:r>
      <w:r w:rsidR="00D3204A">
        <w:rPr>
          <w:rFonts w:cs="Arial"/>
          <w:sz w:val="28"/>
          <w:szCs w:val="28"/>
        </w:rPr>
        <w:t xml:space="preserve">una disposición normativa es </w:t>
      </w:r>
      <w:r>
        <w:rPr>
          <w:rFonts w:cs="Arial"/>
          <w:sz w:val="28"/>
          <w:szCs w:val="28"/>
        </w:rPr>
        <w:t xml:space="preserve">contrario a los principios constitucionales, se deberá ejercitar la acción correspondiente contra dicho acto y no contra la </w:t>
      </w:r>
      <w:r w:rsidR="00D3204A">
        <w:rPr>
          <w:rFonts w:cs="Arial"/>
          <w:sz w:val="28"/>
          <w:szCs w:val="28"/>
        </w:rPr>
        <w:t>disposición</w:t>
      </w:r>
      <w:r>
        <w:rPr>
          <w:rFonts w:cs="Arial"/>
          <w:sz w:val="28"/>
          <w:szCs w:val="28"/>
        </w:rPr>
        <w:t xml:space="preserve"> general.</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En otro orden de ideas, el congreso local sostiene que lo argumentado por el partido accionante s</w:t>
      </w:r>
      <w:r w:rsidR="00483BE0">
        <w:rPr>
          <w:rFonts w:cs="Arial"/>
          <w:sz w:val="28"/>
          <w:szCs w:val="28"/>
        </w:rPr>
        <w:t>e sustenta en afirmaciones falsa</w:t>
      </w:r>
      <w:r>
        <w:rPr>
          <w:rFonts w:cs="Arial"/>
          <w:sz w:val="28"/>
          <w:szCs w:val="28"/>
        </w:rPr>
        <w:t>s debido a que del contenido del Decreto 454, no se advierte que el Congreso estatal esté subordinando la incorporación del representante indígena a los ayuntamientos, a un determinado proceso electoral.</w:t>
      </w:r>
    </w:p>
    <w:p w:rsidR="00410C8A" w:rsidRDefault="00410C8A" w:rsidP="003F4CF1">
      <w:pPr>
        <w:pStyle w:val="corte4fondo"/>
        <w:spacing w:line="276" w:lineRule="auto"/>
        <w:rPr>
          <w:rFonts w:cs="Arial"/>
          <w:sz w:val="28"/>
          <w:szCs w:val="28"/>
        </w:rPr>
      </w:pPr>
    </w:p>
    <w:p w:rsidR="00410C8A" w:rsidRDefault="0001668E" w:rsidP="003F4CF1">
      <w:pPr>
        <w:pStyle w:val="corte4fondo"/>
        <w:spacing w:line="276" w:lineRule="auto"/>
        <w:rPr>
          <w:rFonts w:cs="Arial"/>
          <w:sz w:val="28"/>
          <w:szCs w:val="28"/>
        </w:rPr>
      </w:pPr>
      <w:r>
        <w:rPr>
          <w:rFonts w:cs="Arial"/>
          <w:sz w:val="28"/>
          <w:szCs w:val="28"/>
        </w:rPr>
        <w:t>Asimismo</w:t>
      </w:r>
      <w:r w:rsidR="00410C8A" w:rsidRPr="001C002C">
        <w:rPr>
          <w:rFonts w:cs="Arial"/>
          <w:sz w:val="28"/>
          <w:szCs w:val="28"/>
        </w:rPr>
        <w:t xml:space="preserve">, </w:t>
      </w:r>
      <w:r>
        <w:rPr>
          <w:rFonts w:cs="Arial"/>
          <w:sz w:val="28"/>
          <w:szCs w:val="28"/>
        </w:rPr>
        <w:t>expone</w:t>
      </w:r>
      <w:r w:rsidR="00410C8A" w:rsidRPr="001C002C">
        <w:rPr>
          <w:rFonts w:cs="Arial"/>
          <w:sz w:val="28"/>
          <w:szCs w:val="28"/>
        </w:rPr>
        <w:t xml:space="preserve"> que el aplazamiento del proceso electoral está plenamente justificado porque además de las disposiciones que debía legislar derivado de la sentencia de la Sala Superior del Tribunal Electoral</w:t>
      </w:r>
      <w:r w:rsidR="00410C8A">
        <w:rPr>
          <w:rFonts w:cs="Arial"/>
          <w:sz w:val="28"/>
          <w:szCs w:val="28"/>
        </w:rPr>
        <w:t xml:space="preserve"> del Poder Judicial de la Federación (SUP-REC-588/2018)</w:t>
      </w:r>
      <w:r>
        <w:rPr>
          <w:rFonts w:cs="Arial"/>
          <w:sz w:val="28"/>
          <w:szCs w:val="28"/>
        </w:rPr>
        <w:t>,</w:t>
      </w:r>
      <w:r w:rsidR="00410C8A">
        <w:rPr>
          <w:rFonts w:cs="Arial"/>
          <w:sz w:val="28"/>
          <w:szCs w:val="28"/>
        </w:rPr>
        <w:t xml:space="preserve"> también debía realizar otros actos legislativos</w:t>
      </w:r>
      <w:r>
        <w:rPr>
          <w:rFonts w:cs="Arial"/>
          <w:sz w:val="28"/>
          <w:szCs w:val="28"/>
        </w:rPr>
        <w:t xml:space="preserve"> para </w:t>
      </w:r>
      <w:r w:rsidR="00410C8A">
        <w:rPr>
          <w:rFonts w:cs="Arial"/>
          <w:sz w:val="28"/>
          <w:szCs w:val="28"/>
        </w:rPr>
        <w:t xml:space="preserve">la armonización de las </w:t>
      </w:r>
      <w:r>
        <w:rPr>
          <w:rFonts w:cs="Arial"/>
          <w:sz w:val="28"/>
          <w:szCs w:val="28"/>
        </w:rPr>
        <w:t>disposiciones</w:t>
      </w:r>
      <w:r w:rsidR="00410C8A">
        <w:rPr>
          <w:rFonts w:cs="Arial"/>
          <w:sz w:val="28"/>
          <w:szCs w:val="28"/>
        </w:rPr>
        <w:t xml:space="preserve"> locales derivadas de la actualización de leyes generales relacionadas con el proceso electoral.</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 xml:space="preserve">En ese sentido, </w:t>
      </w:r>
      <w:r w:rsidR="0001668E">
        <w:rPr>
          <w:rFonts w:cs="Arial"/>
          <w:sz w:val="28"/>
          <w:szCs w:val="28"/>
        </w:rPr>
        <w:t xml:space="preserve">considera que </w:t>
      </w:r>
      <w:r>
        <w:rPr>
          <w:rFonts w:cs="Arial"/>
          <w:sz w:val="28"/>
          <w:szCs w:val="28"/>
        </w:rPr>
        <w:t xml:space="preserve">la reforma </w:t>
      </w:r>
      <w:r w:rsidR="0001668E">
        <w:rPr>
          <w:rFonts w:cs="Arial"/>
          <w:sz w:val="28"/>
          <w:szCs w:val="28"/>
        </w:rPr>
        <w:t>realizada</w:t>
      </w:r>
      <w:r>
        <w:rPr>
          <w:rFonts w:cs="Arial"/>
          <w:sz w:val="28"/>
          <w:szCs w:val="28"/>
        </w:rPr>
        <w:t xml:space="preserve"> en el decreto controvertido </w:t>
      </w:r>
      <w:r w:rsidR="0001668E">
        <w:rPr>
          <w:rFonts w:cs="Arial"/>
          <w:sz w:val="28"/>
          <w:szCs w:val="28"/>
        </w:rPr>
        <w:t>está</w:t>
      </w:r>
      <w:r>
        <w:rPr>
          <w:rFonts w:cs="Arial"/>
          <w:sz w:val="28"/>
          <w:szCs w:val="28"/>
        </w:rPr>
        <w:t xml:space="preserve"> debidamente justificada dentro del marco </w:t>
      </w:r>
      <w:r w:rsidR="00483BE0">
        <w:rPr>
          <w:rFonts w:cs="Arial"/>
          <w:sz w:val="28"/>
          <w:szCs w:val="28"/>
        </w:rPr>
        <w:t>establecido en</w:t>
      </w:r>
      <w:r>
        <w:rPr>
          <w:rFonts w:cs="Arial"/>
          <w:sz w:val="28"/>
          <w:szCs w:val="28"/>
        </w:rPr>
        <w:t xml:space="preserve"> artículo 105, fracción II, penúltimo párrafo de la Constitución</w:t>
      </w:r>
      <w:r w:rsidR="009B703B">
        <w:rPr>
          <w:rFonts w:cs="Arial"/>
          <w:sz w:val="28"/>
          <w:szCs w:val="28"/>
        </w:rPr>
        <w:t xml:space="preserve"> General</w:t>
      </w:r>
      <w:r>
        <w:rPr>
          <w:rFonts w:cs="Arial"/>
          <w:sz w:val="28"/>
          <w:szCs w:val="28"/>
        </w:rPr>
        <w:t>.</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 xml:space="preserve">Además, por motivos de la suspensión de actividades no esenciales hasta el treinta de mayo de dos mil veinte, fue que </w:t>
      </w:r>
      <w:r w:rsidR="00AF7267">
        <w:rPr>
          <w:rFonts w:cs="Arial"/>
          <w:sz w:val="28"/>
          <w:szCs w:val="28"/>
        </w:rPr>
        <w:t>extendió</w:t>
      </w:r>
      <w:r>
        <w:rPr>
          <w:rFonts w:cs="Arial"/>
          <w:sz w:val="28"/>
          <w:szCs w:val="28"/>
        </w:rPr>
        <w:t xml:space="preserve"> la suspensión parcial de actividades cotidianas y </w:t>
      </w:r>
      <w:r w:rsidR="00483BE0">
        <w:rPr>
          <w:rFonts w:cs="Arial"/>
          <w:sz w:val="28"/>
          <w:szCs w:val="28"/>
        </w:rPr>
        <w:t>prorrogó</w:t>
      </w:r>
      <w:r>
        <w:rPr>
          <w:rFonts w:cs="Arial"/>
          <w:sz w:val="28"/>
          <w:szCs w:val="28"/>
        </w:rPr>
        <w:t xml:space="preserve"> la celebración de las sesiones de</w:t>
      </w:r>
      <w:r w:rsidR="00AF7267">
        <w:rPr>
          <w:rFonts w:cs="Arial"/>
          <w:sz w:val="28"/>
          <w:szCs w:val="28"/>
        </w:rPr>
        <w:t>l p</w:t>
      </w:r>
      <w:r>
        <w:rPr>
          <w:rFonts w:cs="Arial"/>
          <w:sz w:val="28"/>
          <w:szCs w:val="28"/>
        </w:rPr>
        <w:t>leno y reuniones de trabajo de las comisiones permanentes</w:t>
      </w:r>
      <w:r w:rsidR="00AF7267">
        <w:rPr>
          <w:rFonts w:cs="Arial"/>
          <w:sz w:val="28"/>
          <w:szCs w:val="28"/>
        </w:rPr>
        <w:t xml:space="preserve"> </w:t>
      </w:r>
      <w:r w:rsidR="00483BE0">
        <w:rPr>
          <w:rFonts w:cs="Arial"/>
          <w:sz w:val="28"/>
          <w:szCs w:val="28"/>
        </w:rPr>
        <w:t>para</w:t>
      </w:r>
      <w:r w:rsidR="00AF7267">
        <w:rPr>
          <w:rFonts w:cs="Arial"/>
          <w:sz w:val="28"/>
          <w:szCs w:val="28"/>
        </w:rPr>
        <w:t xml:space="preserve"> reanudarlas</w:t>
      </w:r>
      <w:r>
        <w:rPr>
          <w:rFonts w:cs="Arial"/>
          <w:sz w:val="28"/>
          <w:szCs w:val="28"/>
        </w:rPr>
        <w:t xml:space="preserve"> hasta el dos de junio de dos mil veinte, fecha en la que se presentó la iniciativa que originó el decreto.</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lastRenderedPageBreak/>
        <w:t xml:space="preserve">En cuanto al contenido del decreto, </w:t>
      </w:r>
      <w:r w:rsidR="00AF7267">
        <w:rPr>
          <w:rFonts w:cs="Arial"/>
          <w:sz w:val="28"/>
          <w:szCs w:val="28"/>
        </w:rPr>
        <w:t xml:space="preserve">desde su perspectiva </w:t>
      </w:r>
      <w:r>
        <w:rPr>
          <w:rFonts w:cs="Arial"/>
          <w:sz w:val="28"/>
          <w:szCs w:val="28"/>
        </w:rPr>
        <w:t xml:space="preserve">no es posible advertir </w:t>
      </w:r>
      <w:r w:rsidR="00AF7267">
        <w:rPr>
          <w:rFonts w:cs="Arial"/>
          <w:sz w:val="28"/>
          <w:szCs w:val="28"/>
        </w:rPr>
        <w:t>la</w:t>
      </w:r>
      <w:r>
        <w:rPr>
          <w:rFonts w:cs="Arial"/>
          <w:sz w:val="28"/>
          <w:szCs w:val="28"/>
        </w:rPr>
        <w:t xml:space="preserve"> intención de que el nombramiento del representante </w:t>
      </w:r>
      <w:r w:rsidR="00483BE0">
        <w:rPr>
          <w:rFonts w:cs="Arial"/>
          <w:sz w:val="28"/>
          <w:szCs w:val="28"/>
        </w:rPr>
        <w:t>de las comunidades indígenas</w:t>
      </w:r>
      <w:r>
        <w:rPr>
          <w:rFonts w:cs="Arial"/>
          <w:sz w:val="28"/>
          <w:szCs w:val="28"/>
        </w:rPr>
        <w:t xml:space="preserve"> se adscriba en el proceso electoral para la renovación de los integrantes del ayuntamiento.</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Y aunque pudiera concluirse que el decreto controvertido tiene como fin que el proceso de nombramiento del representante de la comunidad indígena sea a la par del inicio del proceso electoral, esto no resultaría en su inconstitucionalidad porque el hecho de comenzar a la par de ninguna manera afecta la forma en la que se elegirá a dicho representante por usos y costumbres.</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 xml:space="preserve">Por otro lado, </w:t>
      </w:r>
      <w:r w:rsidR="00D300E0">
        <w:rPr>
          <w:rFonts w:cs="Arial"/>
          <w:sz w:val="28"/>
          <w:szCs w:val="28"/>
        </w:rPr>
        <w:t xml:space="preserve">señala que </w:t>
      </w:r>
      <w:r>
        <w:rPr>
          <w:rFonts w:cs="Arial"/>
          <w:sz w:val="28"/>
          <w:szCs w:val="28"/>
        </w:rPr>
        <w:t>la</w:t>
      </w:r>
      <w:r w:rsidR="00483BE0">
        <w:rPr>
          <w:rFonts w:cs="Arial"/>
          <w:sz w:val="28"/>
          <w:szCs w:val="28"/>
        </w:rPr>
        <w:t xml:space="preserve"> referida</w:t>
      </w:r>
      <w:r>
        <w:rPr>
          <w:rFonts w:cs="Arial"/>
          <w:sz w:val="28"/>
          <w:szCs w:val="28"/>
        </w:rPr>
        <w:t xml:space="preserve"> sentencia de la Sala Superior del Tribunal Electoral del Poder Judicial de la Federación vinculó al Congreso estatal para </w:t>
      </w:r>
      <w:r w:rsidR="00A2630A">
        <w:rPr>
          <w:rFonts w:cs="Arial"/>
          <w:sz w:val="28"/>
          <w:szCs w:val="28"/>
        </w:rPr>
        <w:t>cumplir</w:t>
      </w:r>
      <w:r>
        <w:rPr>
          <w:rFonts w:cs="Arial"/>
          <w:sz w:val="28"/>
          <w:szCs w:val="28"/>
        </w:rPr>
        <w:t xml:space="preserve"> la obligación establecida en el artículo 2, apartado A, fra</w:t>
      </w:r>
      <w:r w:rsidR="004441A4">
        <w:rPr>
          <w:rFonts w:cs="Arial"/>
          <w:sz w:val="28"/>
          <w:szCs w:val="28"/>
        </w:rPr>
        <w:t>cción VII, de la Constitución</w:t>
      </w:r>
      <w:r w:rsidR="00A2630A">
        <w:rPr>
          <w:rFonts w:cs="Arial"/>
          <w:sz w:val="28"/>
          <w:szCs w:val="28"/>
        </w:rPr>
        <w:t xml:space="preserve"> General; razón por la</w:t>
      </w:r>
      <w:r w:rsidR="00D300E0">
        <w:rPr>
          <w:rFonts w:cs="Arial"/>
          <w:sz w:val="28"/>
          <w:szCs w:val="28"/>
        </w:rPr>
        <w:t xml:space="preserve"> cual emitió</w:t>
      </w:r>
      <w:r>
        <w:rPr>
          <w:rFonts w:cs="Arial"/>
          <w:sz w:val="28"/>
          <w:szCs w:val="28"/>
        </w:rPr>
        <w:t xml:space="preserve"> las disposiciones pertinentes para complementar el marco normativo local que permitan el ejercicio del derecho de representación de los pueblos y comunidades indígenas ante los ayuntamientos de esa entidad y no solamente su reconocimiento. </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De lo anterior</w:t>
      </w:r>
      <w:r w:rsidR="00773F66">
        <w:rPr>
          <w:rFonts w:cs="Arial"/>
          <w:sz w:val="28"/>
          <w:szCs w:val="28"/>
        </w:rPr>
        <w:t xml:space="preserve"> ―en su opinión―</w:t>
      </w:r>
      <w:r>
        <w:rPr>
          <w:rFonts w:cs="Arial"/>
          <w:sz w:val="28"/>
          <w:szCs w:val="28"/>
        </w:rPr>
        <w:t xml:space="preserve"> se advierte que ni la Constitución ni la Sala Superior</w:t>
      </w:r>
      <w:r w:rsidR="00483BE0">
        <w:rPr>
          <w:rFonts w:cs="Arial"/>
          <w:sz w:val="28"/>
          <w:szCs w:val="28"/>
        </w:rPr>
        <w:t xml:space="preserve"> del Tribunal Electoral del Poder Judicial de la Federación</w:t>
      </w:r>
      <w:r>
        <w:rPr>
          <w:rFonts w:cs="Arial"/>
          <w:sz w:val="28"/>
          <w:szCs w:val="28"/>
        </w:rPr>
        <w:t xml:space="preserve"> mandatan </w:t>
      </w:r>
      <w:r w:rsidR="00773F66">
        <w:rPr>
          <w:rFonts w:cs="Arial"/>
          <w:sz w:val="28"/>
          <w:szCs w:val="28"/>
        </w:rPr>
        <w:t>adoptar</w:t>
      </w:r>
      <w:r>
        <w:rPr>
          <w:rFonts w:cs="Arial"/>
          <w:sz w:val="28"/>
          <w:szCs w:val="28"/>
        </w:rPr>
        <w:t xml:space="preserve"> una modalidad específica de representación indígena ante los ayuntamientos para lo cual existen diversas alternativas en la legislación estatal del país, además de las que en ejercicio de su autonomía, y en acuerdo con los pueblos y comunidades indígenas mediante la consulta indígena, resuelva para el correcto ejercicio de representación ante los ayuntamientos.</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En cuanto a la consulta indígena, manifiesta que el Foro Estatal de la Etapa de Acuerdos y Presentación de iniciativas se encuen</w:t>
      </w:r>
      <w:r w:rsidR="00836604">
        <w:rPr>
          <w:rFonts w:cs="Arial"/>
          <w:sz w:val="28"/>
          <w:szCs w:val="28"/>
        </w:rPr>
        <w:t>tra pospuesta hasta nuevo aviso</w:t>
      </w:r>
      <w:r>
        <w:rPr>
          <w:rFonts w:cs="Arial"/>
          <w:sz w:val="28"/>
          <w:szCs w:val="28"/>
        </w:rPr>
        <w:t xml:space="preserve"> por el COVID-19 y</w:t>
      </w:r>
      <w:r w:rsidR="00836604">
        <w:rPr>
          <w:rFonts w:cs="Arial"/>
          <w:sz w:val="28"/>
          <w:szCs w:val="28"/>
        </w:rPr>
        <w:t>,</w:t>
      </w:r>
      <w:r>
        <w:rPr>
          <w:rFonts w:cs="Arial"/>
          <w:sz w:val="28"/>
          <w:szCs w:val="28"/>
        </w:rPr>
        <w:t xml:space="preserve"> por lo tanto</w:t>
      </w:r>
      <w:r w:rsidR="00836604">
        <w:rPr>
          <w:rFonts w:cs="Arial"/>
          <w:sz w:val="28"/>
          <w:szCs w:val="28"/>
        </w:rPr>
        <w:t>,</w:t>
      </w:r>
      <w:r>
        <w:rPr>
          <w:rFonts w:cs="Arial"/>
          <w:sz w:val="28"/>
          <w:szCs w:val="28"/>
        </w:rPr>
        <w:t xml:space="preserve"> no existe propuesta del Congreso</w:t>
      </w:r>
      <w:r w:rsidR="00483BE0">
        <w:rPr>
          <w:rFonts w:cs="Arial"/>
          <w:sz w:val="28"/>
          <w:szCs w:val="28"/>
        </w:rPr>
        <w:t xml:space="preserve"> local</w:t>
      </w:r>
      <w:r>
        <w:rPr>
          <w:rFonts w:cs="Arial"/>
          <w:sz w:val="28"/>
          <w:szCs w:val="28"/>
        </w:rPr>
        <w:t xml:space="preserve"> en torno al tema.</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lastRenderedPageBreak/>
        <w:t xml:space="preserve">Reitera que la </w:t>
      </w:r>
      <w:r w:rsidR="00A2630A">
        <w:rPr>
          <w:rFonts w:cs="Arial"/>
          <w:sz w:val="28"/>
          <w:szCs w:val="28"/>
        </w:rPr>
        <w:t>demandante</w:t>
      </w:r>
      <w:r>
        <w:rPr>
          <w:rFonts w:cs="Arial"/>
          <w:sz w:val="28"/>
          <w:szCs w:val="28"/>
        </w:rPr>
        <w:t xml:space="preserve"> consintió que con anterioridad al dos de junio de dos mil veinte, fecha en que se reanudaron las sesiones del Congreso por la contingencia, estaba pendiente la armonización de las </w:t>
      </w:r>
      <w:r w:rsidR="00A2630A">
        <w:rPr>
          <w:rFonts w:cs="Arial"/>
          <w:sz w:val="28"/>
          <w:szCs w:val="28"/>
        </w:rPr>
        <w:t>disposiciones</w:t>
      </w:r>
      <w:r>
        <w:rPr>
          <w:rFonts w:cs="Arial"/>
          <w:sz w:val="28"/>
          <w:szCs w:val="28"/>
        </w:rPr>
        <w:t xml:space="preserve"> locales derivadas de la actualización de leyes generales relacionadas con el proceso el</w:t>
      </w:r>
      <w:r w:rsidR="00A2630A">
        <w:rPr>
          <w:rFonts w:cs="Arial"/>
          <w:sz w:val="28"/>
          <w:szCs w:val="28"/>
        </w:rPr>
        <w:t>ectoral, entre las que destacan</w:t>
      </w:r>
      <w:r>
        <w:rPr>
          <w:rFonts w:cs="Arial"/>
          <w:sz w:val="28"/>
          <w:szCs w:val="28"/>
        </w:rPr>
        <w:t xml:space="preserve"> el Decreto publicado el </w:t>
      </w:r>
      <w:r w:rsidR="00483BE0">
        <w:rPr>
          <w:rFonts w:cs="Arial"/>
          <w:sz w:val="28"/>
          <w:szCs w:val="28"/>
        </w:rPr>
        <w:t>trece de abril de dos mil veinte</w:t>
      </w:r>
      <w:r>
        <w:rPr>
          <w:rFonts w:cs="Arial"/>
          <w:sz w:val="28"/>
          <w:szCs w:val="28"/>
        </w:rPr>
        <w:t xml:space="preserve"> en el Diario Oficial de la Federación, por el que se reformaron y adicionaron disposiciones </w:t>
      </w:r>
      <w:r w:rsidR="00A2630A">
        <w:rPr>
          <w:rFonts w:cs="Arial"/>
          <w:sz w:val="28"/>
          <w:szCs w:val="28"/>
        </w:rPr>
        <w:t xml:space="preserve">normativas a varias </w:t>
      </w:r>
      <w:r>
        <w:rPr>
          <w:rFonts w:cs="Arial"/>
          <w:sz w:val="28"/>
          <w:szCs w:val="28"/>
        </w:rPr>
        <w:t xml:space="preserve">leyes, </w:t>
      </w:r>
      <w:r w:rsidR="00373D8E">
        <w:rPr>
          <w:rFonts w:cs="Arial"/>
          <w:sz w:val="28"/>
          <w:szCs w:val="28"/>
        </w:rPr>
        <w:t>a saber,</w:t>
      </w:r>
      <w:r>
        <w:rPr>
          <w:rFonts w:cs="Arial"/>
          <w:sz w:val="28"/>
          <w:szCs w:val="28"/>
        </w:rPr>
        <w:t xml:space="preserve"> la Ley General del Sistema de Medios de Impugnación en Materia Electoral, la Le</w:t>
      </w:r>
      <w:r w:rsidR="00373D8E">
        <w:rPr>
          <w:rFonts w:cs="Arial"/>
          <w:sz w:val="28"/>
          <w:szCs w:val="28"/>
        </w:rPr>
        <w:t>y General de Partidos Políticos</w:t>
      </w:r>
      <w:r>
        <w:rPr>
          <w:rFonts w:cs="Arial"/>
          <w:sz w:val="28"/>
          <w:szCs w:val="28"/>
        </w:rPr>
        <w:t xml:space="preserve"> y la Ley General en Materia de Delitos Electorales.</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 xml:space="preserve">En ese orden de ideas, el aplazamiento del inicio de la jornada electoral no solo obedeció a la incorporación de los representantes de comunidades indígenas a los ayuntamientos, sino también a la armonización de otras </w:t>
      </w:r>
      <w:r w:rsidR="00373D8E">
        <w:rPr>
          <w:rFonts w:cs="Arial"/>
          <w:sz w:val="28"/>
          <w:szCs w:val="28"/>
        </w:rPr>
        <w:t>disposiciones</w:t>
      </w:r>
      <w:r>
        <w:rPr>
          <w:rFonts w:cs="Arial"/>
          <w:sz w:val="28"/>
          <w:szCs w:val="28"/>
        </w:rPr>
        <w:t xml:space="preserve"> relacionadas con el proceso electoral.</w:t>
      </w:r>
    </w:p>
    <w:p w:rsidR="00410C8A" w:rsidRDefault="00410C8A" w:rsidP="003F4CF1">
      <w:pPr>
        <w:pStyle w:val="corte4fondo"/>
        <w:spacing w:line="276" w:lineRule="auto"/>
        <w:rPr>
          <w:rFonts w:cs="Arial"/>
          <w:sz w:val="28"/>
          <w:szCs w:val="28"/>
        </w:rPr>
      </w:pPr>
    </w:p>
    <w:p w:rsidR="00410C8A" w:rsidRDefault="00483BE0" w:rsidP="003F4CF1">
      <w:pPr>
        <w:pStyle w:val="corte4fondo"/>
        <w:spacing w:line="276" w:lineRule="auto"/>
        <w:rPr>
          <w:rFonts w:cs="Arial"/>
          <w:sz w:val="28"/>
          <w:szCs w:val="28"/>
        </w:rPr>
      </w:pPr>
      <w:r>
        <w:rPr>
          <w:rFonts w:cs="Arial"/>
          <w:sz w:val="28"/>
          <w:szCs w:val="28"/>
        </w:rPr>
        <w:t>Así, l</w:t>
      </w:r>
      <w:r w:rsidR="00410C8A">
        <w:rPr>
          <w:rFonts w:cs="Arial"/>
          <w:sz w:val="28"/>
          <w:szCs w:val="28"/>
        </w:rPr>
        <w:t xml:space="preserve">a reforma inherente a la representación de los pueblos y comunidades indígenas ante los ayuntamientos es de naturaleza electoral en razón de que fue </w:t>
      </w:r>
      <w:r>
        <w:rPr>
          <w:rFonts w:cs="Arial"/>
          <w:sz w:val="28"/>
          <w:szCs w:val="28"/>
        </w:rPr>
        <w:t>ordenada</w:t>
      </w:r>
      <w:r w:rsidR="00410C8A">
        <w:rPr>
          <w:rFonts w:cs="Arial"/>
          <w:sz w:val="28"/>
          <w:szCs w:val="28"/>
        </w:rPr>
        <w:t xml:space="preserve"> mediante sentencia de la Sala Superior Electoral, en ese sentido se justifica la modificación al artículo 18 por la que se aplaza el inicio del proceso electoral</w:t>
      </w:r>
      <w:r w:rsidR="0011555F">
        <w:rPr>
          <w:rFonts w:cs="Arial"/>
          <w:sz w:val="28"/>
          <w:szCs w:val="28"/>
        </w:rPr>
        <w:t>, pues</w:t>
      </w:r>
      <w:r w:rsidR="00410C8A">
        <w:rPr>
          <w:rFonts w:cs="Arial"/>
          <w:sz w:val="28"/>
          <w:szCs w:val="28"/>
        </w:rPr>
        <w:t xml:space="preserve"> de no ser así se estaría legislando en periodo de veda electoral.</w:t>
      </w:r>
    </w:p>
    <w:p w:rsidR="00410C8A" w:rsidRDefault="00410C8A" w:rsidP="003F4CF1">
      <w:pPr>
        <w:pStyle w:val="corte4fondo"/>
        <w:spacing w:line="276" w:lineRule="auto"/>
        <w:rPr>
          <w:rFonts w:cs="Arial"/>
          <w:sz w:val="28"/>
          <w:szCs w:val="28"/>
        </w:rPr>
      </w:pPr>
    </w:p>
    <w:p w:rsidR="00410C8A" w:rsidRDefault="0011555F" w:rsidP="003F4CF1">
      <w:pPr>
        <w:pStyle w:val="corte4fondo"/>
        <w:spacing w:line="276" w:lineRule="auto"/>
        <w:rPr>
          <w:rFonts w:cs="Arial"/>
          <w:sz w:val="28"/>
          <w:szCs w:val="28"/>
        </w:rPr>
      </w:pPr>
      <w:r w:rsidRPr="00E47A9B">
        <w:rPr>
          <w:rFonts w:cs="Arial"/>
          <w:sz w:val="28"/>
          <w:szCs w:val="28"/>
        </w:rPr>
        <w:t>Respecto de</w:t>
      </w:r>
      <w:r w:rsidR="00E47A9B" w:rsidRPr="00E47A9B">
        <w:rPr>
          <w:rFonts w:cs="Arial"/>
          <w:sz w:val="28"/>
          <w:szCs w:val="28"/>
        </w:rPr>
        <w:t>l segundo concepto de invalidez</w:t>
      </w:r>
      <w:r w:rsidRPr="00E47A9B">
        <w:rPr>
          <w:rFonts w:cs="Arial"/>
          <w:sz w:val="28"/>
          <w:szCs w:val="28"/>
        </w:rPr>
        <w:t xml:space="preserve"> </w:t>
      </w:r>
      <w:r w:rsidR="00410C8A" w:rsidRPr="00E47A9B">
        <w:rPr>
          <w:rFonts w:cs="Arial"/>
          <w:sz w:val="28"/>
          <w:szCs w:val="28"/>
        </w:rPr>
        <w:t xml:space="preserve">manifiesta que se actualiza la causa de </w:t>
      </w:r>
      <w:r w:rsidR="00E47A9B" w:rsidRPr="00E47A9B">
        <w:rPr>
          <w:rFonts w:cs="Arial"/>
          <w:sz w:val="28"/>
          <w:szCs w:val="28"/>
        </w:rPr>
        <w:t>improcedencia relativa a que las disposiciones normativas impugnadas</w:t>
      </w:r>
      <w:r w:rsidR="00410C8A" w:rsidRPr="00E47A9B">
        <w:rPr>
          <w:rFonts w:cs="Arial"/>
          <w:sz w:val="28"/>
          <w:szCs w:val="28"/>
        </w:rPr>
        <w:t xml:space="preserve"> no contiene</w:t>
      </w:r>
      <w:r w:rsidR="00E47A9B" w:rsidRPr="00E47A9B">
        <w:rPr>
          <w:rFonts w:cs="Arial"/>
          <w:sz w:val="28"/>
          <w:szCs w:val="28"/>
        </w:rPr>
        <w:t xml:space="preserve">n lo que el demandante </w:t>
      </w:r>
      <w:r w:rsidR="00410C8A" w:rsidRPr="00E47A9B">
        <w:rPr>
          <w:rFonts w:cs="Arial"/>
          <w:sz w:val="28"/>
          <w:szCs w:val="28"/>
        </w:rPr>
        <w:t>afirma, por lo siguiente.</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 xml:space="preserve">El segundo párrafo del artículo 79 de la Ley de Instituciones y Procedimientos Electorales de Sinaloa no trata sobre la potestad del Consejo General del Instituto Electoral local para acordar en relación </w:t>
      </w:r>
      <w:r w:rsidR="00E47A9B">
        <w:rPr>
          <w:rFonts w:cs="Arial"/>
          <w:sz w:val="28"/>
          <w:szCs w:val="28"/>
        </w:rPr>
        <w:t>con</w:t>
      </w:r>
      <w:r>
        <w:rPr>
          <w:rFonts w:cs="Arial"/>
          <w:sz w:val="28"/>
          <w:szCs w:val="28"/>
        </w:rPr>
        <w:t xml:space="preserve"> algún acto a desarrollarse dentro de un proceso electoral, s</w:t>
      </w:r>
      <w:r w:rsidR="00483BE0">
        <w:rPr>
          <w:rFonts w:cs="Arial"/>
          <w:sz w:val="28"/>
          <w:szCs w:val="28"/>
        </w:rPr>
        <w:t>ino sobre la facultad de dicho</w:t>
      </w:r>
      <w:r>
        <w:rPr>
          <w:rFonts w:cs="Arial"/>
          <w:sz w:val="28"/>
          <w:szCs w:val="28"/>
        </w:rPr>
        <w:t xml:space="preserve"> Consejo para acordar los plazos en los que deberán desahogarse los procedimientos relativos al registro de los candidatos independientes.</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Es decir, si bien se establece un momento previo (los últimos siete días del mes de octubre) al inicio del proceso electoral para designar los plazos en los que se desahogarán</w:t>
      </w:r>
      <w:r w:rsidR="00483BE0">
        <w:rPr>
          <w:rFonts w:cs="Arial"/>
          <w:sz w:val="28"/>
          <w:szCs w:val="28"/>
        </w:rPr>
        <w:t xml:space="preserve"> los procedimientos de mérito</w:t>
      </w:r>
      <w:r>
        <w:rPr>
          <w:rFonts w:cs="Arial"/>
          <w:sz w:val="28"/>
          <w:szCs w:val="28"/>
        </w:rPr>
        <w:t>, lo cierto es que en ningún momento norma</w:t>
      </w:r>
      <w:r w:rsidR="00052968">
        <w:rPr>
          <w:rFonts w:cs="Arial"/>
          <w:sz w:val="28"/>
          <w:szCs w:val="28"/>
        </w:rPr>
        <w:t xml:space="preserve"> una</w:t>
      </w:r>
      <w:r>
        <w:rPr>
          <w:rFonts w:cs="Arial"/>
          <w:sz w:val="28"/>
          <w:szCs w:val="28"/>
        </w:rPr>
        <w:t xml:space="preserve"> fecha o lapso, en el que se deba iniciar un determinado proceso. </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De acuerdo con lo anterior, el artículo controvertido prevé la</w:t>
      </w:r>
      <w:r w:rsidR="00052968">
        <w:rPr>
          <w:rFonts w:cs="Arial"/>
          <w:sz w:val="28"/>
          <w:szCs w:val="28"/>
        </w:rPr>
        <w:t xml:space="preserve"> obligación del Instituto E</w:t>
      </w:r>
      <w:r>
        <w:rPr>
          <w:rFonts w:cs="Arial"/>
          <w:sz w:val="28"/>
          <w:szCs w:val="28"/>
        </w:rPr>
        <w:t>lectoral local de determinar los plazos relativos al proceso de registro d</w:t>
      </w:r>
      <w:r w:rsidR="00E47A9B">
        <w:rPr>
          <w:rFonts w:cs="Arial"/>
          <w:sz w:val="28"/>
          <w:szCs w:val="28"/>
        </w:rPr>
        <w:t>e los candidatos independientes;</w:t>
      </w:r>
      <w:r>
        <w:rPr>
          <w:rFonts w:cs="Arial"/>
          <w:sz w:val="28"/>
          <w:szCs w:val="28"/>
        </w:rPr>
        <w:t xml:space="preserve"> situación que no puede ser considerada como un acto dentro del proceso electoral.</w:t>
      </w:r>
    </w:p>
    <w:p w:rsidR="00410C8A" w:rsidRDefault="00410C8A" w:rsidP="003F4CF1">
      <w:pPr>
        <w:pStyle w:val="corte4fondo"/>
        <w:spacing w:line="276" w:lineRule="auto"/>
        <w:rPr>
          <w:rFonts w:cs="Arial"/>
          <w:sz w:val="28"/>
          <w:szCs w:val="28"/>
        </w:rPr>
      </w:pPr>
    </w:p>
    <w:p w:rsidR="00410C8A" w:rsidRDefault="00E47A9B" w:rsidP="003F4CF1">
      <w:pPr>
        <w:pStyle w:val="corte4fondo"/>
        <w:spacing w:line="276" w:lineRule="auto"/>
        <w:rPr>
          <w:rFonts w:cs="Arial"/>
          <w:sz w:val="28"/>
          <w:szCs w:val="28"/>
        </w:rPr>
      </w:pPr>
      <w:r w:rsidRPr="00E47A9B">
        <w:rPr>
          <w:rFonts w:cs="Arial"/>
          <w:sz w:val="28"/>
          <w:szCs w:val="28"/>
        </w:rPr>
        <w:t>Por otro lado, s</w:t>
      </w:r>
      <w:r w:rsidR="00410C8A" w:rsidRPr="00E47A9B">
        <w:rPr>
          <w:rFonts w:cs="Arial"/>
          <w:sz w:val="28"/>
          <w:szCs w:val="28"/>
        </w:rPr>
        <w:t>obre el tercer</w:t>
      </w:r>
      <w:r w:rsidRPr="00E47A9B">
        <w:rPr>
          <w:rFonts w:cs="Arial"/>
          <w:sz w:val="28"/>
          <w:szCs w:val="28"/>
        </w:rPr>
        <w:t xml:space="preserve"> concepto de invalidez, el Legislativo local sostiene que </w:t>
      </w:r>
      <w:r w:rsidR="00410C8A" w:rsidRPr="00E47A9B">
        <w:rPr>
          <w:rFonts w:cs="Arial"/>
          <w:sz w:val="28"/>
          <w:szCs w:val="28"/>
        </w:rPr>
        <w:t xml:space="preserve">el decreto controvertido no contiene </w:t>
      </w:r>
      <w:r>
        <w:rPr>
          <w:rFonts w:cs="Arial"/>
          <w:sz w:val="28"/>
          <w:szCs w:val="28"/>
        </w:rPr>
        <w:t>alguna</w:t>
      </w:r>
      <w:r w:rsidR="00410C8A" w:rsidRPr="00E47A9B">
        <w:rPr>
          <w:rFonts w:cs="Arial"/>
          <w:sz w:val="28"/>
          <w:szCs w:val="28"/>
        </w:rPr>
        <w:t xml:space="preserve"> disposición jurídica </w:t>
      </w:r>
      <w:r>
        <w:rPr>
          <w:rFonts w:cs="Arial"/>
          <w:sz w:val="28"/>
          <w:szCs w:val="28"/>
        </w:rPr>
        <w:t xml:space="preserve">que invada las atribuciones </w:t>
      </w:r>
      <w:r w:rsidR="00410C8A" w:rsidRPr="00E47A9B">
        <w:rPr>
          <w:rFonts w:cs="Arial"/>
          <w:sz w:val="28"/>
          <w:szCs w:val="28"/>
        </w:rPr>
        <w:t>reservadas a la Federación en materia de salud.</w:t>
      </w:r>
    </w:p>
    <w:p w:rsidR="00410C8A" w:rsidRDefault="00410C8A" w:rsidP="003F4CF1">
      <w:pPr>
        <w:pStyle w:val="corte4fondo"/>
        <w:spacing w:line="276" w:lineRule="auto"/>
        <w:rPr>
          <w:rFonts w:cs="Arial"/>
          <w:sz w:val="28"/>
          <w:szCs w:val="28"/>
        </w:rPr>
      </w:pPr>
    </w:p>
    <w:p w:rsidR="00410C8A" w:rsidRDefault="00185ED1" w:rsidP="003F4CF1">
      <w:pPr>
        <w:pStyle w:val="corte4fondo"/>
        <w:spacing w:line="276" w:lineRule="auto"/>
        <w:rPr>
          <w:rFonts w:cs="Arial"/>
          <w:sz w:val="28"/>
          <w:szCs w:val="28"/>
        </w:rPr>
      </w:pPr>
      <w:r>
        <w:rPr>
          <w:rFonts w:cs="Arial"/>
          <w:sz w:val="28"/>
          <w:szCs w:val="28"/>
        </w:rPr>
        <w:t xml:space="preserve">Agrega que </w:t>
      </w:r>
      <w:r w:rsidR="00410C8A">
        <w:rPr>
          <w:rFonts w:cs="Arial"/>
          <w:sz w:val="28"/>
          <w:szCs w:val="28"/>
        </w:rPr>
        <w:t xml:space="preserve">de las consideraciones del dictamen que precedió al decreto controvertido se advierte que </w:t>
      </w:r>
      <w:r w:rsidR="00C22ECE">
        <w:rPr>
          <w:rFonts w:cs="Arial"/>
          <w:sz w:val="28"/>
          <w:szCs w:val="28"/>
        </w:rPr>
        <w:t>el legislativo</w:t>
      </w:r>
      <w:r w:rsidR="00410C8A">
        <w:rPr>
          <w:rFonts w:cs="Arial"/>
          <w:sz w:val="28"/>
          <w:szCs w:val="28"/>
        </w:rPr>
        <w:t xml:space="preserve"> </w:t>
      </w:r>
      <w:r w:rsidR="00C22ECE">
        <w:rPr>
          <w:rFonts w:cs="Arial"/>
          <w:sz w:val="28"/>
          <w:szCs w:val="28"/>
        </w:rPr>
        <w:t>atendió</w:t>
      </w:r>
      <w:r w:rsidR="00410C8A">
        <w:rPr>
          <w:rFonts w:cs="Arial"/>
          <w:sz w:val="28"/>
          <w:szCs w:val="28"/>
        </w:rPr>
        <w:t xml:space="preserve"> las recomendaciones de las autoridades de salud con motivo de la contingencia sanitaria.</w:t>
      </w:r>
      <w:r w:rsidR="00923E84">
        <w:rPr>
          <w:rFonts w:cs="Arial"/>
          <w:sz w:val="28"/>
          <w:szCs w:val="28"/>
        </w:rPr>
        <w:t xml:space="preserve"> </w:t>
      </w:r>
      <w:r w:rsidR="00410C8A">
        <w:rPr>
          <w:rFonts w:cs="Arial"/>
          <w:sz w:val="28"/>
          <w:szCs w:val="28"/>
        </w:rPr>
        <w:t xml:space="preserve">En ese sentido, </w:t>
      </w:r>
      <w:r w:rsidR="0026645E">
        <w:rPr>
          <w:rFonts w:cs="Arial"/>
          <w:sz w:val="28"/>
          <w:szCs w:val="28"/>
        </w:rPr>
        <w:t>señala que no fue legislado</w:t>
      </w:r>
      <w:r w:rsidR="00410C8A">
        <w:rPr>
          <w:rFonts w:cs="Arial"/>
          <w:sz w:val="28"/>
          <w:szCs w:val="28"/>
        </w:rPr>
        <w:t xml:space="preserve"> sobre aspectos de una pandemia ni </w:t>
      </w:r>
      <w:r w:rsidR="0026645E">
        <w:rPr>
          <w:rFonts w:cs="Arial"/>
          <w:sz w:val="28"/>
          <w:szCs w:val="28"/>
        </w:rPr>
        <w:t>arrogadas</w:t>
      </w:r>
      <w:r w:rsidR="00410C8A">
        <w:rPr>
          <w:rFonts w:cs="Arial"/>
          <w:sz w:val="28"/>
          <w:szCs w:val="28"/>
        </w:rPr>
        <w:t xml:space="preserve"> las potestades para </w:t>
      </w:r>
      <w:r w:rsidR="0026645E">
        <w:rPr>
          <w:rFonts w:cs="Arial"/>
          <w:sz w:val="28"/>
          <w:szCs w:val="28"/>
        </w:rPr>
        <w:t>establecer</w:t>
      </w:r>
      <w:r w:rsidR="00410C8A">
        <w:rPr>
          <w:rFonts w:cs="Arial"/>
          <w:sz w:val="28"/>
          <w:szCs w:val="28"/>
        </w:rPr>
        <w:t xml:space="preserve"> medidas sobre aspectos de salubridad general.</w:t>
      </w:r>
    </w:p>
    <w:p w:rsidR="00410C8A" w:rsidRDefault="00410C8A" w:rsidP="003F4CF1">
      <w:pPr>
        <w:pStyle w:val="corte4fondo"/>
        <w:spacing w:line="276" w:lineRule="auto"/>
        <w:rPr>
          <w:rFonts w:cs="Arial"/>
          <w:sz w:val="28"/>
          <w:szCs w:val="28"/>
        </w:rPr>
      </w:pPr>
    </w:p>
    <w:p w:rsidR="00410C8A" w:rsidRDefault="008B27E2" w:rsidP="003F4CF1">
      <w:pPr>
        <w:pStyle w:val="corte4fondo"/>
        <w:spacing w:line="276" w:lineRule="auto"/>
        <w:rPr>
          <w:rFonts w:cs="Arial"/>
          <w:sz w:val="28"/>
          <w:szCs w:val="28"/>
        </w:rPr>
      </w:pPr>
      <w:r>
        <w:rPr>
          <w:rFonts w:cs="Arial"/>
          <w:sz w:val="28"/>
          <w:szCs w:val="28"/>
        </w:rPr>
        <w:t>Contrario a lo que alega el demandante</w:t>
      </w:r>
      <w:r w:rsidR="00410C8A">
        <w:rPr>
          <w:rFonts w:cs="Arial"/>
          <w:sz w:val="28"/>
          <w:szCs w:val="28"/>
        </w:rPr>
        <w:t>, a partir de la página seis de la exposición de motivos que originó el decreto impugna</w:t>
      </w:r>
      <w:r>
        <w:rPr>
          <w:rFonts w:cs="Arial"/>
          <w:sz w:val="28"/>
          <w:szCs w:val="28"/>
        </w:rPr>
        <w:t>do</w:t>
      </w:r>
      <w:r w:rsidR="00410C8A">
        <w:rPr>
          <w:rFonts w:cs="Arial"/>
          <w:sz w:val="28"/>
          <w:szCs w:val="28"/>
        </w:rPr>
        <w:t xml:space="preserve"> se advierte que el Congreso de Sinaloa siempre fue prudente al no agendar las sesiones fuera del cumplimiento de la restricción sanitaria del Consejo de Salubridad General, relativa a no realizar reuniones de más de </w:t>
      </w:r>
      <w:r w:rsidR="00052968">
        <w:rPr>
          <w:rFonts w:cs="Arial"/>
          <w:sz w:val="28"/>
          <w:szCs w:val="28"/>
        </w:rPr>
        <w:t>cincuenta</w:t>
      </w:r>
      <w:r w:rsidR="00410C8A">
        <w:rPr>
          <w:rFonts w:cs="Arial"/>
          <w:sz w:val="28"/>
          <w:szCs w:val="28"/>
        </w:rPr>
        <w:t xml:space="preserve"> personas, lo que demuestra que lejos de invadir la competencia de una autoridad, se actuó en colaboración.</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 xml:space="preserve">Además, </w:t>
      </w:r>
      <w:r w:rsidR="008B27E2">
        <w:rPr>
          <w:rFonts w:cs="Arial"/>
          <w:sz w:val="28"/>
          <w:szCs w:val="28"/>
        </w:rPr>
        <w:t>señala</w:t>
      </w:r>
      <w:r>
        <w:rPr>
          <w:rFonts w:cs="Arial"/>
          <w:sz w:val="28"/>
          <w:szCs w:val="28"/>
        </w:rPr>
        <w:t xml:space="preserve"> que la regulación del proceso electoral es comp</w:t>
      </w:r>
      <w:r w:rsidR="008B27E2">
        <w:rPr>
          <w:rFonts w:cs="Arial"/>
          <w:sz w:val="28"/>
          <w:szCs w:val="28"/>
        </w:rPr>
        <w:t>etencia del Congreso del Estado;</w:t>
      </w:r>
      <w:r>
        <w:rPr>
          <w:rFonts w:cs="Arial"/>
          <w:sz w:val="28"/>
          <w:szCs w:val="28"/>
        </w:rPr>
        <w:t xml:space="preserve"> por tato, </w:t>
      </w:r>
      <w:r w:rsidR="008B27E2">
        <w:rPr>
          <w:rFonts w:cs="Arial"/>
          <w:sz w:val="28"/>
          <w:szCs w:val="28"/>
        </w:rPr>
        <w:t>está dentro de sus competencias</w:t>
      </w:r>
      <w:r>
        <w:rPr>
          <w:rFonts w:cs="Arial"/>
          <w:sz w:val="28"/>
          <w:szCs w:val="28"/>
        </w:rPr>
        <w:t xml:space="preserve"> modificar los plazos del proceso electoral si alguna fuerza mayor, como la emergencia sanitaria</w:t>
      </w:r>
      <w:r w:rsidR="008B27E2">
        <w:rPr>
          <w:rFonts w:cs="Arial"/>
          <w:sz w:val="28"/>
          <w:szCs w:val="28"/>
        </w:rPr>
        <w:t>,</w:t>
      </w:r>
      <w:r>
        <w:rPr>
          <w:rFonts w:cs="Arial"/>
          <w:sz w:val="28"/>
          <w:szCs w:val="28"/>
        </w:rPr>
        <w:t xml:space="preserve"> lo motiva.</w:t>
      </w:r>
    </w:p>
    <w:p w:rsidR="00410C8A" w:rsidRDefault="00410C8A" w:rsidP="003F4CF1">
      <w:pPr>
        <w:pStyle w:val="corte4fondo"/>
        <w:spacing w:line="276" w:lineRule="auto"/>
        <w:rPr>
          <w:rFonts w:cs="Arial"/>
          <w:sz w:val="28"/>
          <w:szCs w:val="28"/>
        </w:rPr>
      </w:pPr>
      <w:r>
        <w:rPr>
          <w:rFonts w:cs="Arial"/>
          <w:sz w:val="28"/>
          <w:szCs w:val="28"/>
        </w:rPr>
        <w:lastRenderedPageBreak/>
        <w:t>Finalmente, refiere que en caso de que se alegara una invasión de competencias, la acción de inconstitucionalidad no es el medio de control constitucional adecuado y sí la controversia constitucional.</w:t>
      </w:r>
    </w:p>
    <w:p w:rsidR="00410C8A" w:rsidRDefault="00410C8A" w:rsidP="003F4CF1">
      <w:pPr>
        <w:pStyle w:val="corte4fondo"/>
        <w:spacing w:line="276" w:lineRule="auto"/>
        <w:rPr>
          <w:rFonts w:cs="Arial"/>
          <w:sz w:val="28"/>
          <w:szCs w:val="28"/>
        </w:rPr>
      </w:pPr>
    </w:p>
    <w:p w:rsidR="00410C8A" w:rsidRDefault="008B27E2" w:rsidP="003F4CF1">
      <w:pPr>
        <w:pStyle w:val="corte4fondo"/>
        <w:spacing w:line="276" w:lineRule="auto"/>
        <w:rPr>
          <w:rFonts w:cs="Arial"/>
          <w:sz w:val="28"/>
          <w:szCs w:val="28"/>
        </w:rPr>
      </w:pPr>
      <w:r w:rsidRPr="00B8794C">
        <w:rPr>
          <w:rFonts w:cs="Arial"/>
          <w:sz w:val="28"/>
          <w:szCs w:val="28"/>
        </w:rPr>
        <w:t xml:space="preserve">Respecto del cuarto concepto de invalidez </w:t>
      </w:r>
      <w:r w:rsidR="00014AC8" w:rsidRPr="00B8794C">
        <w:rPr>
          <w:rFonts w:cs="Arial"/>
          <w:sz w:val="28"/>
          <w:szCs w:val="28"/>
        </w:rPr>
        <w:t>sostiene</w:t>
      </w:r>
      <w:r w:rsidRPr="00B8794C">
        <w:rPr>
          <w:rFonts w:cs="Arial"/>
          <w:sz w:val="28"/>
          <w:szCs w:val="28"/>
        </w:rPr>
        <w:t xml:space="preserve"> que </w:t>
      </w:r>
      <w:r w:rsidR="00014AC8" w:rsidRPr="00B8794C">
        <w:rPr>
          <w:rFonts w:cs="Arial"/>
          <w:sz w:val="28"/>
          <w:szCs w:val="28"/>
        </w:rPr>
        <w:t>el p</w:t>
      </w:r>
      <w:r w:rsidR="00410C8A" w:rsidRPr="00B8794C">
        <w:rPr>
          <w:rFonts w:cs="Arial"/>
          <w:sz w:val="28"/>
          <w:szCs w:val="28"/>
        </w:rPr>
        <w:t xml:space="preserve">artido </w:t>
      </w:r>
      <w:r w:rsidR="00014AC8" w:rsidRPr="00B8794C">
        <w:rPr>
          <w:rFonts w:cs="Arial"/>
          <w:sz w:val="28"/>
          <w:szCs w:val="28"/>
        </w:rPr>
        <w:t>demandante</w:t>
      </w:r>
      <w:r w:rsidR="00410C8A" w:rsidRPr="00B8794C">
        <w:rPr>
          <w:rFonts w:cs="Arial"/>
          <w:sz w:val="28"/>
          <w:szCs w:val="28"/>
        </w:rPr>
        <w:t xml:space="preserve"> </w:t>
      </w:r>
      <w:r w:rsidR="00014AC8" w:rsidRPr="00B8794C">
        <w:rPr>
          <w:rFonts w:cs="Arial"/>
          <w:sz w:val="28"/>
          <w:szCs w:val="28"/>
        </w:rPr>
        <w:t>basa</w:t>
      </w:r>
      <w:r w:rsidR="00410C8A" w:rsidRPr="00B8794C">
        <w:rPr>
          <w:rFonts w:cs="Arial"/>
          <w:sz w:val="28"/>
          <w:szCs w:val="28"/>
        </w:rPr>
        <w:t xml:space="preserve"> </w:t>
      </w:r>
      <w:r w:rsidR="00014AC8" w:rsidRPr="00B8794C">
        <w:rPr>
          <w:rFonts w:cs="Arial"/>
          <w:sz w:val="28"/>
          <w:szCs w:val="28"/>
        </w:rPr>
        <w:t xml:space="preserve">sus argumentos </w:t>
      </w:r>
      <w:r w:rsidR="00410C8A" w:rsidRPr="00B8794C">
        <w:rPr>
          <w:rFonts w:cs="Arial"/>
          <w:sz w:val="28"/>
          <w:szCs w:val="28"/>
        </w:rPr>
        <w:t xml:space="preserve">en situaciones hipotéticas, es decir, en hechos que supone </w:t>
      </w:r>
      <w:r w:rsidR="00014AC8" w:rsidRPr="00B8794C">
        <w:rPr>
          <w:rFonts w:cs="Arial"/>
          <w:sz w:val="28"/>
          <w:szCs w:val="28"/>
        </w:rPr>
        <w:t>sucederán</w:t>
      </w:r>
      <w:r w:rsidR="00410C8A" w:rsidRPr="00B8794C">
        <w:rPr>
          <w:rFonts w:cs="Arial"/>
          <w:sz w:val="28"/>
          <w:szCs w:val="28"/>
        </w:rPr>
        <w:t xml:space="preserve"> desp</w:t>
      </w:r>
      <w:r w:rsidR="00B8794C" w:rsidRPr="00B8794C">
        <w:rPr>
          <w:rFonts w:cs="Arial"/>
          <w:sz w:val="28"/>
          <w:szCs w:val="28"/>
        </w:rPr>
        <w:t>ués de la fecha de emisión del d</w:t>
      </w:r>
      <w:r w:rsidR="00410C8A" w:rsidRPr="00B8794C">
        <w:rPr>
          <w:rFonts w:cs="Arial"/>
          <w:sz w:val="28"/>
          <w:szCs w:val="28"/>
        </w:rPr>
        <w:t>ecreto 454.</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Del con</w:t>
      </w:r>
      <w:r w:rsidR="00B8794C">
        <w:rPr>
          <w:rFonts w:cs="Arial"/>
          <w:sz w:val="28"/>
          <w:szCs w:val="28"/>
        </w:rPr>
        <w:t>tenido íntegro del d</w:t>
      </w:r>
      <w:r w:rsidR="00014AC8">
        <w:rPr>
          <w:rFonts w:cs="Arial"/>
          <w:sz w:val="28"/>
          <w:szCs w:val="28"/>
        </w:rPr>
        <w:t xml:space="preserve">ecreto 454 ―en su opinión― </w:t>
      </w:r>
      <w:r>
        <w:rPr>
          <w:rFonts w:cs="Arial"/>
          <w:sz w:val="28"/>
          <w:szCs w:val="28"/>
        </w:rPr>
        <w:t>jamás se advierte que el Congreso local tuviere la pretensión de legislar para que los procedimientos internos de elección por usos y costumbres realizados por las comunidades indígenas para designar un repre</w:t>
      </w:r>
      <w:r w:rsidR="00C41CD2">
        <w:rPr>
          <w:rFonts w:cs="Arial"/>
          <w:sz w:val="28"/>
          <w:szCs w:val="28"/>
        </w:rPr>
        <w:t>sentante ante los ayuntamientos</w:t>
      </w:r>
      <w:r>
        <w:rPr>
          <w:rFonts w:cs="Arial"/>
          <w:sz w:val="28"/>
          <w:szCs w:val="28"/>
        </w:rPr>
        <w:t xml:space="preserve"> se incrusten dentro del proceso electoral que rige a los institutos polític</w:t>
      </w:r>
      <w:r w:rsidR="00C41CD2">
        <w:rPr>
          <w:rFonts w:cs="Arial"/>
          <w:sz w:val="28"/>
          <w:szCs w:val="28"/>
        </w:rPr>
        <w:t>os y candidatos independientes; n</w:t>
      </w:r>
      <w:r>
        <w:rPr>
          <w:rFonts w:cs="Arial"/>
          <w:sz w:val="28"/>
          <w:szCs w:val="28"/>
        </w:rPr>
        <w:t xml:space="preserve">i </w:t>
      </w:r>
      <w:r w:rsidR="00C41CD2">
        <w:rPr>
          <w:rFonts w:cs="Arial"/>
          <w:sz w:val="28"/>
          <w:szCs w:val="28"/>
        </w:rPr>
        <w:t>en la exposición de motivos</w:t>
      </w:r>
      <w:r>
        <w:rPr>
          <w:rFonts w:cs="Arial"/>
          <w:sz w:val="28"/>
          <w:szCs w:val="28"/>
        </w:rPr>
        <w:t xml:space="preserve"> de la iniciativa que dio origen al Decreto 454 se advierte la pretensión de la que se acusa al Congreso del Estado de Sinaloa.</w:t>
      </w:r>
    </w:p>
    <w:p w:rsidR="00410C8A" w:rsidRDefault="00410C8A" w:rsidP="003F4CF1">
      <w:pPr>
        <w:pStyle w:val="corte4fondo"/>
        <w:spacing w:line="276" w:lineRule="auto"/>
        <w:rPr>
          <w:rFonts w:cs="Arial"/>
          <w:sz w:val="28"/>
          <w:szCs w:val="28"/>
        </w:rPr>
      </w:pPr>
    </w:p>
    <w:p w:rsidR="00410C8A" w:rsidRDefault="00C41CD2" w:rsidP="003F4CF1">
      <w:pPr>
        <w:pStyle w:val="corte4fondo"/>
        <w:spacing w:line="276" w:lineRule="auto"/>
        <w:rPr>
          <w:rFonts w:cs="Arial"/>
          <w:sz w:val="28"/>
          <w:szCs w:val="28"/>
        </w:rPr>
      </w:pPr>
      <w:r w:rsidRPr="00E44F71">
        <w:rPr>
          <w:rFonts w:cs="Arial"/>
          <w:sz w:val="28"/>
          <w:szCs w:val="28"/>
        </w:rPr>
        <w:t xml:space="preserve">En cuanto al </w:t>
      </w:r>
      <w:r w:rsidR="00410C8A" w:rsidRPr="00E44F71">
        <w:rPr>
          <w:rFonts w:cs="Arial"/>
          <w:sz w:val="28"/>
          <w:szCs w:val="28"/>
        </w:rPr>
        <w:t>quinto concepto de invalidez</w:t>
      </w:r>
      <w:r w:rsidRPr="00E44F71">
        <w:rPr>
          <w:rFonts w:cs="Arial"/>
          <w:sz w:val="28"/>
          <w:szCs w:val="28"/>
        </w:rPr>
        <w:t xml:space="preserve"> considera que </w:t>
      </w:r>
      <w:r w:rsidR="00410C8A" w:rsidRPr="00E44F71">
        <w:rPr>
          <w:rFonts w:cs="Arial"/>
          <w:sz w:val="28"/>
          <w:szCs w:val="28"/>
        </w:rPr>
        <w:t>en la Ley Orgánica que rige el actuar del Congreso de Sinaloa</w:t>
      </w:r>
      <w:r w:rsidR="00E51ADC" w:rsidRPr="00E44F71">
        <w:rPr>
          <w:rFonts w:cs="Arial"/>
          <w:sz w:val="28"/>
          <w:szCs w:val="28"/>
        </w:rPr>
        <w:t xml:space="preserve"> no hay algún impedimento </w:t>
      </w:r>
      <w:r w:rsidR="00410C8A" w:rsidRPr="00E44F71">
        <w:rPr>
          <w:rFonts w:cs="Arial"/>
          <w:sz w:val="28"/>
          <w:szCs w:val="28"/>
        </w:rPr>
        <w:t xml:space="preserve">para efecto de que en un solo día se </w:t>
      </w:r>
      <w:r w:rsidR="002D49D2" w:rsidRPr="00E44F71">
        <w:rPr>
          <w:rFonts w:cs="Arial"/>
          <w:sz w:val="28"/>
          <w:szCs w:val="28"/>
        </w:rPr>
        <w:t>diera</w:t>
      </w:r>
      <w:r w:rsidR="00410C8A" w:rsidRPr="00E44F71">
        <w:rPr>
          <w:rFonts w:cs="Arial"/>
          <w:sz w:val="28"/>
          <w:szCs w:val="28"/>
        </w:rPr>
        <w:t xml:space="preserve"> primera lectura a l</w:t>
      </w:r>
      <w:r w:rsidR="00E51ADC" w:rsidRPr="00E44F71">
        <w:rPr>
          <w:rFonts w:cs="Arial"/>
          <w:sz w:val="28"/>
          <w:szCs w:val="28"/>
        </w:rPr>
        <w:t xml:space="preserve">a iniciativa que </w:t>
      </w:r>
      <w:r w:rsidR="002D49D2" w:rsidRPr="00E44F71">
        <w:rPr>
          <w:rFonts w:cs="Arial"/>
          <w:sz w:val="28"/>
          <w:szCs w:val="28"/>
        </w:rPr>
        <w:t>originó</w:t>
      </w:r>
      <w:r w:rsidR="00E51ADC" w:rsidRPr="00E44F71">
        <w:rPr>
          <w:rFonts w:cs="Arial"/>
          <w:sz w:val="28"/>
          <w:szCs w:val="28"/>
        </w:rPr>
        <w:t xml:space="preserve"> d</w:t>
      </w:r>
      <w:r w:rsidR="00410C8A" w:rsidRPr="00E44F71">
        <w:rPr>
          <w:rFonts w:cs="Arial"/>
          <w:sz w:val="28"/>
          <w:szCs w:val="28"/>
        </w:rPr>
        <w:t xml:space="preserve">ecreto controvertido, se </w:t>
      </w:r>
      <w:r w:rsidR="002D49D2" w:rsidRPr="00E44F71">
        <w:rPr>
          <w:rFonts w:cs="Arial"/>
          <w:sz w:val="28"/>
          <w:szCs w:val="28"/>
        </w:rPr>
        <w:t>turnara</w:t>
      </w:r>
      <w:r w:rsidR="00410C8A" w:rsidRPr="00E44F71">
        <w:rPr>
          <w:rFonts w:cs="Arial"/>
          <w:sz w:val="28"/>
          <w:szCs w:val="28"/>
        </w:rPr>
        <w:t xml:space="preserve"> a la Comisión de Puntos Constitucionales y Gobernación</w:t>
      </w:r>
      <w:r w:rsidR="002D49D2" w:rsidRPr="00E44F71">
        <w:rPr>
          <w:rFonts w:cs="Arial"/>
          <w:sz w:val="28"/>
          <w:szCs w:val="28"/>
        </w:rPr>
        <w:t xml:space="preserve"> y</w:t>
      </w:r>
      <w:r w:rsidR="00410C8A" w:rsidRPr="00E44F71">
        <w:rPr>
          <w:rFonts w:cs="Arial"/>
          <w:sz w:val="28"/>
          <w:szCs w:val="28"/>
        </w:rPr>
        <w:t xml:space="preserve"> p</w:t>
      </w:r>
      <w:r w:rsidR="00052968">
        <w:rPr>
          <w:rFonts w:cs="Arial"/>
          <w:sz w:val="28"/>
          <w:szCs w:val="28"/>
        </w:rPr>
        <w:t>resentara</w:t>
      </w:r>
      <w:r w:rsidR="00410C8A" w:rsidRPr="00E44F71">
        <w:rPr>
          <w:rFonts w:cs="Arial"/>
          <w:sz w:val="28"/>
          <w:szCs w:val="28"/>
        </w:rPr>
        <w:t xml:space="preserve"> el dictamen correspondiente.</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 xml:space="preserve">No </w:t>
      </w:r>
      <w:r w:rsidR="00C351B7">
        <w:rPr>
          <w:rFonts w:cs="Arial"/>
          <w:sz w:val="28"/>
          <w:szCs w:val="28"/>
        </w:rPr>
        <w:t xml:space="preserve">le </w:t>
      </w:r>
      <w:r>
        <w:rPr>
          <w:rFonts w:cs="Arial"/>
          <w:sz w:val="28"/>
          <w:szCs w:val="28"/>
        </w:rPr>
        <w:t xml:space="preserve">pasa inadvertido que si bien es cierto </w:t>
      </w:r>
      <w:r w:rsidR="00E44F71">
        <w:rPr>
          <w:rFonts w:cs="Arial"/>
          <w:sz w:val="28"/>
          <w:szCs w:val="28"/>
        </w:rPr>
        <w:t xml:space="preserve">en </w:t>
      </w:r>
      <w:r>
        <w:rPr>
          <w:rFonts w:cs="Arial"/>
          <w:sz w:val="28"/>
          <w:szCs w:val="28"/>
        </w:rPr>
        <w:t>el artículo 144 de la Ley Orgánica del Congreso del Estado de Sinaloa</w:t>
      </w:r>
      <w:r w:rsidR="00E44F71">
        <w:rPr>
          <w:rFonts w:cs="Arial"/>
          <w:sz w:val="28"/>
          <w:szCs w:val="28"/>
        </w:rPr>
        <w:t xml:space="preserve"> es dispuesto</w:t>
      </w:r>
      <w:r>
        <w:rPr>
          <w:rFonts w:cs="Arial"/>
          <w:sz w:val="28"/>
          <w:szCs w:val="28"/>
        </w:rPr>
        <w:t xml:space="preserve"> que las iniciativas presentadas podrán ser le</w:t>
      </w:r>
      <w:r w:rsidR="00E44F71">
        <w:rPr>
          <w:rFonts w:cs="Arial"/>
          <w:sz w:val="28"/>
          <w:szCs w:val="28"/>
        </w:rPr>
        <w:t>ídas en dos sesiones diferentes,</w:t>
      </w:r>
      <w:r>
        <w:rPr>
          <w:rFonts w:cs="Arial"/>
          <w:sz w:val="28"/>
          <w:szCs w:val="28"/>
        </w:rPr>
        <w:t xml:space="preserve"> </w:t>
      </w:r>
      <w:r w:rsidR="00E44F71">
        <w:rPr>
          <w:rFonts w:cs="Arial"/>
          <w:sz w:val="28"/>
          <w:szCs w:val="28"/>
        </w:rPr>
        <w:t>también lo</w:t>
      </w:r>
      <w:r>
        <w:rPr>
          <w:rFonts w:cs="Arial"/>
          <w:sz w:val="28"/>
          <w:szCs w:val="28"/>
        </w:rPr>
        <w:t xml:space="preserve"> es que en el segundo párrafo de</w:t>
      </w:r>
      <w:r w:rsidR="00E44F71">
        <w:rPr>
          <w:rFonts w:cs="Arial"/>
          <w:sz w:val="28"/>
          <w:szCs w:val="28"/>
        </w:rPr>
        <w:t>l</w:t>
      </w:r>
      <w:r>
        <w:rPr>
          <w:rFonts w:cs="Arial"/>
          <w:sz w:val="28"/>
          <w:szCs w:val="28"/>
        </w:rPr>
        <w:t xml:space="preserve"> </w:t>
      </w:r>
      <w:r w:rsidR="00E44F71">
        <w:rPr>
          <w:rFonts w:cs="Arial"/>
          <w:sz w:val="28"/>
          <w:szCs w:val="28"/>
        </w:rPr>
        <w:t>artículo 145</w:t>
      </w:r>
      <w:r>
        <w:rPr>
          <w:rFonts w:cs="Arial"/>
          <w:sz w:val="28"/>
          <w:szCs w:val="28"/>
        </w:rPr>
        <w:t xml:space="preserve"> </w:t>
      </w:r>
      <w:r w:rsidR="00E44F71">
        <w:rPr>
          <w:rFonts w:cs="Arial"/>
          <w:sz w:val="28"/>
          <w:szCs w:val="28"/>
        </w:rPr>
        <w:t xml:space="preserve">es previsto </w:t>
      </w:r>
      <w:r>
        <w:rPr>
          <w:rFonts w:cs="Arial"/>
          <w:sz w:val="28"/>
          <w:szCs w:val="28"/>
        </w:rPr>
        <w:t xml:space="preserve">que podrá </w:t>
      </w:r>
      <w:r w:rsidR="00E44F71">
        <w:rPr>
          <w:rFonts w:cs="Arial"/>
          <w:sz w:val="28"/>
          <w:szCs w:val="28"/>
        </w:rPr>
        <w:t>dispensarse la segunda lectura siempre que la Cámara lo acuerde</w:t>
      </w:r>
      <w:r>
        <w:rPr>
          <w:rFonts w:cs="Arial"/>
          <w:sz w:val="28"/>
          <w:szCs w:val="28"/>
        </w:rPr>
        <w:t xml:space="preserve"> a petición de algún diputado, conforme a los requisitos para la dispensa de trámites.</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 xml:space="preserve">Lo anterior </w:t>
      </w:r>
      <w:r w:rsidR="00E44F71">
        <w:rPr>
          <w:rFonts w:cs="Arial"/>
          <w:sz w:val="28"/>
          <w:szCs w:val="28"/>
        </w:rPr>
        <w:t xml:space="preserve">―considera― </w:t>
      </w:r>
      <w:r>
        <w:rPr>
          <w:rFonts w:cs="Arial"/>
          <w:sz w:val="28"/>
          <w:szCs w:val="28"/>
        </w:rPr>
        <w:t xml:space="preserve"> </w:t>
      </w:r>
      <w:r w:rsidR="00B8794C">
        <w:rPr>
          <w:rFonts w:cs="Arial"/>
          <w:sz w:val="28"/>
          <w:szCs w:val="28"/>
        </w:rPr>
        <w:t>sucedió en este caso</w:t>
      </w:r>
      <w:r>
        <w:rPr>
          <w:rFonts w:cs="Arial"/>
          <w:sz w:val="28"/>
          <w:szCs w:val="28"/>
        </w:rPr>
        <w:t xml:space="preserve"> tal y como se </w:t>
      </w:r>
      <w:r w:rsidR="00B8794C">
        <w:rPr>
          <w:rFonts w:cs="Arial"/>
          <w:sz w:val="28"/>
          <w:szCs w:val="28"/>
        </w:rPr>
        <w:t>advierte</w:t>
      </w:r>
      <w:r>
        <w:rPr>
          <w:rFonts w:cs="Arial"/>
          <w:sz w:val="28"/>
          <w:szCs w:val="28"/>
        </w:rPr>
        <w:t xml:space="preserve"> de las </w:t>
      </w:r>
      <w:r w:rsidR="00B8794C">
        <w:rPr>
          <w:rFonts w:cs="Arial"/>
          <w:sz w:val="28"/>
          <w:szCs w:val="28"/>
        </w:rPr>
        <w:t>páginas diecinueve</w:t>
      </w:r>
      <w:r>
        <w:rPr>
          <w:rFonts w:cs="Arial"/>
          <w:sz w:val="28"/>
          <w:szCs w:val="28"/>
        </w:rPr>
        <w:t xml:space="preserve"> a </w:t>
      </w:r>
      <w:r w:rsidR="00B8794C">
        <w:rPr>
          <w:rFonts w:cs="Arial"/>
          <w:sz w:val="28"/>
          <w:szCs w:val="28"/>
        </w:rPr>
        <w:t>veinte del acta de la sesión p</w:t>
      </w:r>
      <w:r>
        <w:rPr>
          <w:rFonts w:cs="Arial"/>
          <w:sz w:val="28"/>
          <w:szCs w:val="28"/>
        </w:rPr>
        <w:t>ública de dos de junio de do</w:t>
      </w:r>
      <w:r w:rsidR="00B8794C">
        <w:rPr>
          <w:rFonts w:cs="Arial"/>
          <w:sz w:val="28"/>
          <w:szCs w:val="28"/>
        </w:rPr>
        <w:t>s mil veinte, razón por la cual</w:t>
      </w:r>
      <w:r>
        <w:rPr>
          <w:rFonts w:cs="Arial"/>
          <w:sz w:val="28"/>
          <w:szCs w:val="28"/>
        </w:rPr>
        <w:t xml:space="preserve"> se debe </w:t>
      </w:r>
      <w:r>
        <w:rPr>
          <w:rFonts w:cs="Arial"/>
          <w:sz w:val="28"/>
          <w:szCs w:val="28"/>
        </w:rPr>
        <w:lastRenderedPageBreak/>
        <w:t xml:space="preserve">de tener por </w:t>
      </w:r>
      <w:r w:rsidR="00B8794C">
        <w:rPr>
          <w:rFonts w:cs="Arial"/>
          <w:sz w:val="28"/>
          <w:szCs w:val="28"/>
        </w:rPr>
        <w:t xml:space="preserve">justificado </w:t>
      </w:r>
      <w:r>
        <w:rPr>
          <w:rFonts w:cs="Arial"/>
          <w:sz w:val="28"/>
          <w:szCs w:val="28"/>
        </w:rPr>
        <w:t xml:space="preserve">legalmente que en un solo día </w:t>
      </w:r>
      <w:r w:rsidR="00B8794C">
        <w:rPr>
          <w:rFonts w:cs="Arial"/>
          <w:sz w:val="28"/>
          <w:szCs w:val="28"/>
        </w:rPr>
        <w:t>se diera</w:t>
      </w:r>
      <w:r>
        <w:rPr>
          <w:rFonts w:cs="Arial"/>
          <w:sz w:val="28"/>
          <w:szCs w:val="28"/>
        </w:rPr>
        <w:t xml:space="preserve"> primera lectura a l</w:t>
      </w:r>
      <w:r w:rsidR="00B8794C">
        <w:rPr>
          <w:rFonts w:cs="Arial"/>
          <w:sz w:val="28"/>
          <w:szCs w:val="28"/>
        </w:rPr>
        <w:t>a iniciativa que dio origen al d</w:t>
      </w:r>
      <w:r>
        <w:rPr>
          <w:rFonts w:cs="Arial"/>
          <w:sz w:val="28"/>
          <w:szCs w:val="28"/>
        </w:rPr>
        <w:t>ecreto controvertido,</w:t>
      </w:r>
      <w:r w:rsidR="00052968">
        <w:rPr>
          <w:rFonts w:cs="Arial"/>
          <w:sz w:val="28"/>
          <w:szCs w:val="28"/>
        </w:rPr>
        <w:t xml:space="preserve"> se</w:t>
      </w:r>
      <w:r>
        <w:rPr>
          <w:rFonts w:cs="Arial"/>
          <w:sz w:val="28"/>
          <w:szCs w:val="28"/>
        </w:rPr>
        <w:t xml:space="preserve"> </w:t>
      </w:r>
      <w:r w:rsidR="00B8794C">
        <w:rPr>
          <w:rFonts w:cs="Arial"/>
          <w:sz w:val="28"/>
          <w:szCs w:val="28"/>
        </w:rPr>
        <w:t>turnara</w:t>
      </w:r>
      <w:r>
        <w:rPr>
          <w:rFonts w:cs="Arial"/>
          <w:sz w:val="28"/>
          <w:szCs w:val="28"/>
        </w:rPr>
        <w:t xml:space="preserve"> a la Comisión de Puntos Constitucionales y Gobernación, </w:t>
      </w:r>
      <w:r w:rsidR="00052968">
        <w:rPr>
          <w:rFonts w:cs="Arial"/>
          <w:sz w:val="28"/>
          <w:szCs w:val="28"/>
        </w:rPr>
        <w:t>y se presentara</w:t>
      </w:r>
      <w:r>
        <w:rPr>
          <w:rFonts w:cs="Arial"/>
          <w:sz w:val="28"/>
          <w:szCs w:val="28"/>
        </w:rPr>
        <w:t xml:space="preserve"> el dictamen correspondiente</w:t>
      </w:r>
      <w:r w:rsidR="00052968">
        <w:rPr>
          <w:rFonts w:cs="Arial"/>
          <w:sz w:val="28"/>
          <w:szCs w:val="28"/>
        </w:rPr>
        <w:t xml:space="preserve"> para ser</w:t>
      </w:r>
      <w:r>
        <w:rPr>
          <w:rFonts w:cs="Arial"/>
          <w:sz w:val="28"/>
          <w:szCs w:val="28"/>
        </w:rPr>
        <w:t xml:space="preserve"> votado</w:t>
      </w:r>
      <w:r w:rsidR="00B8794C">
        <w:rPr>
          <w:rFonts w:cs="Arial"/>
          <w:sz w:val="28"/>
          <w:szCs w:val="28"/>
        </w:rPr>
        <w:t xml:space="preserve"> en el Pleno</w:t>
      </w:r>
      <w:r>
        <w:rPr>
          <w:rFonts w:cs="Arial"/>
          <w:sz w:val="28"/>
          <w:szCs w:val="28"/>
        </w:rPr>
        <w:t>.</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 xml:space="preserve">Por otra parte, </w:t>
      </w:r>
      <w:r w:rsidR="00B8794C">
        <w:rPr>
          <w:rFonts w:cs="Arial"/>
          <w:sz w:val="28"/>
          <w:szCs w:val="28"/>
        </w:rPr>
        <w:t xml:space="preserve">el legislativo </w:t>
      </w:r>
      <w:r>
        <w:rPr>
          <w:rFonts w:cs="Arial"/>
          <w:sz w:val="28"/>
          <w:szCs w:val="28"/>
        </w:rPr>
        <w:t xml:space="preserve">señala que los artículos </w:t>
      </w:r>
      <w:r>
        <w:rPr>
          <w:rFonts w:cs="Arial"/>
          <w:bCs/>
          <w:sz w:val="28"/>
          <w:szCs w:val="28"/>
        </w:rPr>
        <w:t>controvertidos f</w:t>
      </w:r>
      <w:r>
        <w:rPr>
          <w:rFonts w:cs="Arial"/>
          <w:sz w:val="28"/>
          <w:szCs w:val="28"/>
        </w:rPr>
        <w:t>ueron emitidos en estricto apego y cu</w:t>
      </w:r>
      <w:r w:rsidR="00B8794C">
        <w:rPr>
          <w:rFonts w:cs="Arial"/>
          <w:sz w:val="28"/>
          <w:szCs w:val="28"/>
        </w:rPr>
        <w:t>mplimiento a la Constitución Gen</w:t>
      </w:r>
      <w:r>
        <w:rPr>
          <w:rFonts w:cs="Arial"/>
          <w:sz w:val="28"/>
          <w:szCs w:val="28"/>
        </w:rPr>
        <w:t xml:space="preserve">eral y en ejercicio de la facultad conferida </w:t>
      </w:r>
      <w:r w:rsidR="00B8794C">
        <w:rPr>
          <w:rFonts w:cs="Arial"/>
          <w:sz w:val="28"/>
          <w:szCs w:val="28"/>
        </w:rPr>
        <w:t>en</w:t>
      </w:r>
      <w:r>
        <w:rPr>
          <w:rFonts w:cs="Arial"/>
          <w:sz w:val="28"/>
          <w:szCs w:val="28"/>
        </w:rPr>
        <w:t xml:space="preserve"> el artículo 43</w:t>
      </w:r>
      <w:r w:rsidR="00B8794C">
        <w:rPr>
          <w:rFonts w:cs="Arial"/>
          <w:sz w:val="28"/>
          <w:szCs w:val="28"/>
        </w:rPr>
        <w:t>,</w:t>
      </w:r>
      <w:r>
        <w:rPr>
          <w:rFonts w:cs="Arial"/>
          <w:sz w:val="28"/>
          <w:szCs w:val="28"/>
        </w:rPr>
        <w:t xml:space="preserve"> fracción II</w:t>
      </w:r>
      <w:r w:rsidR="00B8794C">
        <w:rPr>
          <w:rFonts w:cs="Arial"/>
          <w:sz w:val="28"/>
          <w:szCs w:val="28"/>
        </w:rPr>
        <w:t>,</w:t>
      </w:r>
      <w:r>
        <w:rPr>
          <w:rFonts w:cs="Arial"/>
          <w:sz w:val="28"/>
          <w:szCs w:val="28"/>
        </w:rPr>
        <w:t xml:space="preserve"> de la Constitución local, en la que </w:t>
      </w:r>
      <w:r w:rsidR="00B8794C">
        <w:rPr>
          <w:rFonts w:cs="Arial"/>
          <w:sz w:val="28"/>
          <w:szCs w:val="28"/>
        </w:rPr>
        <w:t>es establecido</w:t>
      </w:r>
      <w:r>
        <w:rPr>
          <w:rFonts w:cs="Arial"/>
          <w:sz w:val="28"/>
          <w:szCs w:val="28"/>
        </w:rPr>
        <w:t xml:space="preserve"> como facultad exclusiva del Congreso de Sinaloa la de expedir, interpretar</w:t>
      </w:r>
      <w:r w:rsidR="00B8794C">
        <w:rPr>
          <w:rFonts w:cs="Arial"/>
          <w:sz w:val="28"/>
          <w:szCs w:val="28"/>
        </w:rPr>
        <w:t>,</w:t>
      </w:r>
      <w:r>
        <w:rPr>
          <w:rFonts w:cs="Arial"/>
          <w:sz w:val="28"/>
          <w:szCs w:val="28"/>
        </w:rPr>
        <w:t xml:space="preserve"> reformar, abrogar y derogar leyes y decretos en todos los ramos de la administración pública.</w:t>
      </w:r>
    </w:p>
    <w:p w:rsidR="00410C8A" w:rsidRDefault="00410C8A" w:rsidP="003F4CF1">
      <w:pPr>
        <w:pStyle w:val="corte4fondo"/>
        <w:spacing w:line="276" w:lineRule="auto"/>
        <w:rPr>
          <w:rFonts w:cs="Arial"/>
          <w:sz w:val="28"/>
          <w:szCs w:val="28"/>
        </w:rPr>
      </w:pPr>
    </w:p>
    <w:p w:rsidR="00410C8A" w:rsidRDefault="00410C8A" w:rsidP="003F4CF1">
      <w:pPr>
        <w:pStyle w:val="corte4fondo"/>
        <w:spacing w:line="276" w:lineRule="auto"/>
        <w:rPr>
          <w:rFonts w:cs="Arial"/>
          <w:sz w:val="28"/>
          <w:szCs w:val="28"/>
        </w:rPr>
      </w:pPr>
      <w:r>
        <w:rPr>
          <w:rFonts w:cs="Arial"/>
          <w:sz w:val="28"/>
          <w:szCs w:val="28"/>
        </w:rPr>
        <w:t>En ese sentido, el Congreso local al ejercer esa facultad respetó las ordenanzas de la Ley Orgánica del Congreso del Estado de Sinaloa.</w:t>
      </w:r>
    </w:p>
    <w:p w:rsidR="00E57779" w:rsidRDefault="00E57779" w:rsidP="003F4CF1">
      <w:pPr>
        <w:pStyle w:val="corte4fondo"/>
        <w:spacing w:line="276" w:lineRule="auto"/>
        <w:rPr>
          <w:rFonts w:cs="Arial"/>
          <w:sz w:val="28"/>
          <w:szCs w:val="28"/>
        </w:rPr>
      </w:pPr>
    </w:p>
    <w:p w:rsidR="00E57779" w:rsidRDefault="00E57779" w:rsidP="003F4CF1">
      <w:pPr>
        <w:pStyle w:val="corte4fondo"/>
        <w:spacing w:line="276" w:lineRule="auto"/>
        <w:rPr>
          <w:rFonts w:cs="Arial"/>
          <w:sz w:val="28"/>
          <w:szCs w:val="28"/>
        </w:rPr>
      </w:pPr>
      <w:r>
        <w:rPr>
          <w:rFonts w:cs="Arial"/>
          <w:sz w:val="28"/>
          <w:szCs w:val="28"/>
        </w:rPr>
        <w:t xml:space="preserve">Por su parte, </w:t>
      </w:r>
      <w:r w:rsidR="007E533B">
        <w:rPr>
          <w:rFonts w:cs="Arial"/>
          <w:sz w:val="28"/>
          <w:szCs w:val="28"/>
        </w:rPr>
        <w:t>el informe el Poder Ejecutivo</w:t>
      </w:r>
      <w:r w:rsidR="007E533B" w:rsidRPr="007E533B">
        <w:rPr>
          <w:rFonts w:cs="Arial"/>
          <w:sz w:val="28"/>
          <w:szCs w:val="28"/>
        </w:rPr>
        <w:t xml:space="preserve"> del Estado de Sinaloa fue rendido por per</w:t>
      </w:r>
      <w:r w:rsidR="007E533B">
        <w:rPr>
          <w:rFonts w:cs="Arial"/>
          <w:sz w:val="28"/>
          <w:szCs w:val="28"/>
        </w:rPr>
        <w:t>sona no legitimada para hacerlo;</w:t>
      </w:r>
      <w:r w:rsidR="007E533B" w:rsidRPr="007E533B">
        <w:rPr>
          <w:rFonts w:cs="Arial"/>
          <w:sz w:val="28"/>
          <w:szCs w:val="28"/>
        </w:rPr>
        <w:t xml:space="preserve"> por lo tanto, con base en el artículo 30 </w:t>
      </w:r>
      <w:r w:rsidR="007E533B">
        <w:rPr>
          <w:rFonts w:cs="Arial"/>
          <w:sz w:val="28"/>
          <w:szCs w:val="28"/>
        </w:rPr>
        <w:t>la Ley Reglamentaria de las Fracciones I y II del Artículo 105 de la Constitución Política de los Estados Unidos Mexicanos</w:t>
      </w:r>
      <w:r w:rsidR="007E533B" w:rsidRPr="007E533B">
        <w:rPr>
          <w:rFonts w:cs="Arial"/>
          <w:sz w:val="28"/>
          <w:szCs w:val="28"/>
        </w:rPr>
        <w:t xml:space="preserve"> se presumen como c</w:t>
      </w:r>
      <w:r w:rsidR="007E533B">
        <w:rPr>
          <w:rFonts w:cs="Arial"/>
          <w:sz w:val="28"/>
          <w:szCs w:val="28"/>
        </w:rPr>
        <w:t>iertos los hechos imputados al Poder señalado, tal como fue precisado mediante acuerdo de trece de agosto de dos mil veinte por el Ministro instructor.</w:t>
      </w:r>
    </w:p>
    <w:p w:rsidR="00162EC8" w:rsidRPr="008D4992" w:rsidRDefault="00162EC8" w:rsidP="003F4CF1">
      <w:pPr>
        <w:autoSpaceDE w:val="0"/>
        <w:autoSpaceDN w:val="0"/>
        <w:adjustRightInd w:val="0"/>
        <w:ind w:firstLine="0"/>
        <w:rPr>
          <w:rFonts w:cs="Arial"/>
          <w:szCs w:val="28"/>
        </w:rPr>
      </w:pPr>
    </w:p>
    <w:p w:rsidR="00F44332" w:rsidRPr="00EB58AB" w:rsidRDefault="009831A0" w:rsidP="003F4CF1">
      <w:pPr>
        <w:pStyle w:val="Ttulo2"/>
        <w:rPr>
          <w:rFonts w:cs="Arial"/>
          <w:b w:val="0"/>
          <w:szCs w:val="28"/>
        </w:rPr>
      </w:pPr>
      <w:r w:rsidRPr="00EB58AB">
        <w:rPr>
          <w:lang w:val="es-ES_tradnl"/>
        </w:rPr>
        <w:t>CUAR</w:t>
      </w:r>
      <w:r w:rsidR="00F849F2" w:rsidRPr="00EB58AB">
        <w:rPr>
          <w:lang w:val="es-ES_tradnl"/>
        </w:rPr>
        <w:t>TO.</w:t>
      </w:r>
      <w:r w:rsidR="00D017A0" w:rsidRPr="00EB58AB">
        <w:rPr>
          <w:lang w:val="es-ES_tradnl"/>
        </w:rPr>
        <w:t xml:space="preserve"> </w:t>
      </w:r>
      <w:r w:rsidR="00F44332" w:rsidRPr="00EB58AB">
        <w:rPr>
          <w:lang w:val="es-ES_tradnl"/>
        </w:rPr>
        <w:t>Opinión de la Sala Superior y fecha de inicio del proceso electoral local.</w:t>
      </w:r>
      <w:r w:rsidR="00F44332">
        <w:rPr>
          <w:lang w:val="es-ES_tradnl"/>
        </w:rPr>
        <w:t xml:space="preserve"> </w:t>
      </w:r>
      <w:r w:rsidR="00F44332" w:rsidRPr="00EB58AB">
        <w:rPr>
          <w:b w:val="0"/>
        </w:rPr>
        <w:t xml:space="preserve">La Sala Superior del Tribunal Electoral del Poder Judicial de la Federación </w:t>
      </w:r>
      <w:r w:rsidR="00EB58AB">
        <w:rPr>
          <w:b w:val="0"/>
        </w:rPr>
        <w:t xml:space="preserve">sobre el primer </w:t>
      </w:r>
      <w:r w:rsidR="0006034D">
        <w:rPr>
          <w:b w:val="0"/>
        </w:rPr>
        <w:t xml:space="preserve">y quinto </w:t>
      </w:r>
      <w:r w:rsidR="00EB58AB">
        <w:rPr>
          <w:b w:val="0"/>
        </w:rPr>
        <w:t xml:space="preserve">concepto de invalidez formulado por el demandante </w:t>
      </w:r>
      <w:r w:rsidR="00F44332" w:rsidRPr="00EB58AB">
        <w:rPr>
          <w:b w:val="0"/>
        </w:rPr>
        <w:t xml:space="preserve">expuso </w:t>
      </w:r>
      <w:r w:rsidR="00F44332" w:rsidRPr="00EB58AB">
        <w:rPr>
          <w:rFonts w:cs="Arial"/>
          <w:b w:val="0"/>
          <w:szCs w:val="28"/>
        </w:rPr>
        <w:t>que los planteamientos relacionados con violaciones al proceso legislativo tienen relación con temas que pertenecen al ámbito del derecho parlamentario, por estar vinculados con violaciones de carácter formal al procedimiento legislativo, los cuales son ajenos a la materia electora</w:t>
      </w:r>
      <w:r w:rsidR="00C10A91">
        <w:rPr>
          <w:rFonts w:cs="Arial"/>
          <w:b w:val="0"/>
          <w:szCs w:val="28"/>
        </w:rPr>
        <w:t>l y, por tanto, al respecto no e</w:t>
      </w:r>
      <w:r w:rsidR="00296B3F">
        <w:rPr>
          <w:rFonts w:cs="Arial"/>
          <w:b w:val="0"/>
          <w:szCs w:val="28"/>
        </w:rPr>
        <w:t>mitió opinión.</w:t>
      </w:r>
    </w:p>
    <w:p w:rsidR="00F44332" w:rsidRDefault="00F44332" w:rsidP="003F4CF1">
      <w:pPr>
        <w:pStyle w:val="corte4fondo"/>
        <w:tabs>
          <w:tab w:val="left" w:pos="8789"/>
        </w:tabs>
        <w:spacing w:line="276" w:lineRule="auto"/>
        <w:ind w:left="993" w:right="49" w:hanging="284"/>
        <w:rPr>
          <w:rFonts w:cs="Arial"/>
          <w:sz w:val="28"/>
          <w:szCs w:val="28"/>
        </w:rPr>
      </w:pPr>
    </w:p>
    <w:p w:rsidR="00F44332" w:rsidRPr="008D4992" w:rsidRDefault="00296B3F" w:rsidP="00BD5CCC">
      <w:pPr>
        <w:pStyle w:val="corte4fondo"/>
        <w:tabs>
          <w:tab w:val="left" w:pos="8789"/>
        </w:tabs>
        <w:spacing w:line="276" w:lineRule="auto"/>
        <w:ind w:firstLine="708"/>
        <w:rPr>
          <w:rFonts w:cs="Arial"/>
          <w:sz w:val="28"/>
          <w:szCs w:val="28"/>
        </w:rPr>
      </w:pPr>
      <w:r>
        <w:rPr>
          <w:rFonts w:cs="Arial"/>
          <w:sz w:val="28"/>
          <w:szCs w:val="28"/>
        </w:rPr>
        <w:lastRenderedPageBreak/>
        <w:t>Respecto del segundo concepto de invalidez</w:t>
      </w:r>
      <w:r w:rsidR="00B26CFF">
        <w:rPr>
          <w:rFonts w:cs="Arial"/>
          <w:sz w:val="28"/>
          <w:szCs w:val="28"/>
        </w:rPr>
        <w:t>, relativo al argumento sobre i</w:t>
      </w:r>
      <w:r w:rsidR="00F44332">
        <w:rPr>
          <w:rFonts w:cs="Arial"/>
          <w:sz w:val="28"/>
          <w:szCs w:val="28"/>
        </w:rPr>
        <w:t xml:space="preserve">nvasión </w:t>
      </w:r>
      <w:r w:rsidR="00B26CFF">
        <w:rPr>
          <w:rFonts w:cs="Arial"/>
          <w:sz w:val="28"/>
          <w:szCs w:val="28"/>
        </w:rPr>
        <w:t>a las competencias de los P</w:t>
      </w:r>
      <w:r w:rsidR="00F44332">
        <w:rPr>
          <w:rFonts w:cs="Arial"/>
          <w:sz w:val="28"/>
          <w:szCs w:val="28"/>
        </w:rPr>
        <w:t>oderes Le</w:t>
      </w:r>
      <w:r w:rsidR="00B26CFF">
        <w:rPr>
          <w:rFonts w:cs="Arial"/>
          <w:sz w:val="28"/>
          <w:szCs w:val="28"/>
        </w:rPr>
        <w:t>gislativo y Ejecutivo Federales</w:t>
      </w:r>
      <w:r w:rsidR="00F44332">
        <w:rPr>
          <w:rFonts w:cs="Arial"/>
          <w:sz w:val="28"/>
          <w:szCs w:val="28"/>
        </w:rPr>
        <w:t xml:space="preserve"> al realizar reformas en la</w:t>
      </w:r>
      <w:r w:rsidR="00B26CFF">
        <w:rPr>
          <w:rFonts w:cs="Arial"/>
          <w:sz w:val="28"/>
          <w:szCs w:val="28"/>
        </w:rPr>
        <w:t xml:space="preserve">s etapas del proceso electoral </w:t>
      </w:r>
      <w:r w:rsidR="00F44332">
        <w:rPr>
          <w:rFonts w:cs="Arial"/>
          <w:sz w:val="28"/>
          <w:szCs w:val="28"/>
        </w:rPr>
        <w:t>con mot</w:t>
      </w:r>
      <w:r w:rsidR="00B26CFF">
        <w:rPr>
          <w:rFonts w:cs="Arial"/>
          <w:sz w:val="28"/>
          <w:szCs w:val="28"/>
        </w:rPr>
        <w:t>ivo de la pandemia del COVID-19, l</w:t>
      </w:r>
      <w:r w:rsidR="00F44332">
        <w:rPr>
          <w:rFonts w:cs="Arial"/>
          <w:sz w:val="28"/>
          <w:szCs w:val="28"/>
        </w:rPr>
        <w:t>a Sala Superior consideró</w:t>
      </w:r>
      <w:r w:rsidR="00F44332" w:rsidRPr="00983801">
        <w:rPr>
          <w:rFonts w:cs="Arial"/>
          <w:sz w:val="28"/>
          <w:szCs w:val="28"/>
        </w:rPr>
        <w:t xml:space="preserve"> que el </w:t>
      </w:r>
      <w:r w:rsidR="003F4CF1">
        <w:rPr>
          <w:rFonts w:cs="Arial"/>
          <w:sz w:val="28"/>
          <w:szCs w:val="28"/>
        </w:rPr>
        <w:t xml:space="preserve">problema jurídico trata sobre </w:t>
      </w:r>
      <w:r w:rsidR="00F44332" w:rsidRPr="00983801">
        <w:rPr>
          <w:rFonts w:cs="Arial"/>
          <w:sz w:val="28"/>
          <w:szCs w:val="28"/>
        </w:rPr>
        <w:t xml:space="preserve">una cuestión de invasión de competencia en materia de salubridad, </w:t>
      </w:r>
      <w:r w:rsidR="003F4CF1">
        <w:rPr>
          <w:rFonts w:cs="Arial"/>
          <w:sz w:val="28"/>
          <w:szCs w:val="28"/>
        </w:rPr>
        <w:t xml:space="preserve">por lo cual </w:t>
      </w:r>
      <w:r w:rsidR="00F44332" w:rsidRPr="00983801">
        <w:rPr>
          <w:rFonts w:cs="Arial"/>
          <w:sz w:val="28"/>
          <w:szCs w:val="28"/>
        </w:rPr>
        <w:t>no se requiere de opinión es</w:t>
      </w:r>
      <w:r w:rsidR="003F4CF1">
        <w:rPr>
          <w:rFonts w:cs="Arial"/>
          <w:sz w:val="28"/>
          <w:szCs w:val="28"/>
        </w:rPr>
        <w:t>pecializada de la Sala Superior</w:t>
      </w:r>
      <w:r w:rsidR="00F44332" w:rsidRPr="00983801">
        <w:rPr>
          <w:rFonts w:cs="Arial"/>
          <w:sz w:val="28"/>
          <w:szCs w:val="28"/>
        </w:rPr>
        <w:t xml:space="preserve"> en razón de que no es un tema exclusivo del derecho electoral.</w:t>
      </w:r>
    </w:p>
    <w:p w:rsidR="00F44332" w:rsidRPr="008D4992" w:rsidRDefault="00F44332" w:rsidP="00BD5CCC">
      <w:pPr>
        <w:pStyle w:val="corte4fondo"/>
        <w:tabs>
          <w:tab w:val="left" w:pos="8789"/>
        </w:tabs>
        <w:spacing w:line="276" w:lineRule="auto"/>
        <w:ind w:firstLine="708"/>
        <w:rPr>
          <w:rFonts w:cs="Arial"/>
          <w:sz w:val="28"/>
          <w:szCs w:val="28"/>
        </w:rPr>
      </w:pPr>
    </w:p>
    <w:p w:rsidR="00F44332" w:rsidRDefault="003F4CF1" w:rsidP="00BD5CCC">
      <w:pPr>
        <w:pStyle w:val="corte4fondo"/>
        <w:tabs>
          <w:tab w:val="left" w:pos="8789"/>
        </w:tabs>
        <w:spacing w:line="276" w:lineRule="auto"/>
        <w:ind w:firstLine="708"/>
        <w:rPr>
          <w:rFonts w:cs="Arial"/>
          <w:sz w:val="28"/>
          <w:szCs w:val="28"/>
        </w:rPr>
      </w:pPr>
      <w:r>
        <w:rPr>
          <w:rFonts w:cs="Arial"/>
          <w:sz w:val="28"/>
          <w:szCs w:val="28"/>
        </w:rPr>
        <w:t>En cuanto al tercer concepto de invalidez, en el cual es impugnado el d</w:t>
      </w:r>
      <w:r w:rsidR="00F44332">
        <w:rPr>
          <w:rFonts w:cs="Arial"/>
          <w:sz w:val="28"/>
          <w:szCs w:val="28"/>
        </w:rPr>
        <w:t>iferimiento de la convocatoria para el inicio del proceso electoral para incorporar a los representantes indígenas en la próxima elección de los ay</w:t>
      </w:r>
      <w:r w:rsidR="00052968">
        <w:rPr>
          <w:rFonts w:cs="Arial"/>
          <w:sz w:val="28"/>
          <w:szCs w:val="28"/>
        </w:rPr>
        <w:t>untamientos para el periodo dos mil veintiuno</w:t>
      </w:r>
      <w:r w:rsidR="00F44332">
        <w:rPr>
          <w:rFonts w:cs="Arial"/>
          <w:sz w:val="28"/>
          <w:szCs w:val="28"/>
        </w:rPr>
        <w:t>-</w:t>
      </w:r>
      <w:r w:rsidR="00052968">
        <w:rPr>
          <w:rFonts w:cs="Arial"/>
          <w:sz w:val="28"/>
          <w:szCs w:val="28"/>
        </w:rPr>
        <w:t xml:space="preserve"> dos mil veinticuatro</w:t>
      </w:r>
      <w:r>
        <w:rPr>
          <w:rFonts w:cs="Arial"/>
          <w:sz w:val="28"/>
          <w:szCs w:val="28"/>
        </w:rPr>
        <w:t>, la Sala Superior considera que</w:t>
      </w:r>
      <w:r w:rsidR="00F44332" w:rsidRPr="004B037C">
        <w:rPr>
          <w:rFonts w:cs="Arial"/>
          <w:sz w:val="28"/>
          <w:szCs w:val="28"/>
        </w:rPr>
        <w:t xml:space="preserve"> son constitucionales las disposiciones impugnadas relativas al ajuste de fechas del proceso electoral </w:t>
      </w:r>
      <w:r w:rsidR="00C460F5">
        <w:rPr>
          <w:rFonts w:cs="Arial"/>
          <w:sz w:val="28"/>
          <w:szCs w:val="28"/>
        </w:rPr>
        <w:t xml:space="preserve">para </w:t>
      </w:r>
      <w:r w:rsidR="00F44332" w:rsidRPr="004B037C">
        <w:rPr>
          <w:rFonts w:cs="Arial"/>
          <w:sz w:val="28"/>
          <w:szCs w:val="28"/>
        </w:rPr>
        <w:t xml:space="preserve"> </w:t>
      </w:r>
      <w:r w:rsidR="009438AE">
        <w:rPr>
          <w:rFonts w:cs="Arial"/>
          <w:sz w:val="28"/>
          <w:szCs w:val="28"/>
        </w:rPr>
        <w:t>la expedición de la c</w:t>
      </w:r>
      <w:r w:rsidR="00F44332" w:rsidRPr="004B037C">
        <w:rPr>
          <w:rFonts w:cs="Arial"/>
          <w:sz w:val="28"/>
          <w:szCs w:val="28"/>
        </w:rPr>
        <w:t>onvocatoria en el mes de diciembre del año previo a la elección</w:t>
      </w:r>
      <w:r w:rsidR="009438AE">
        <w:rPr>
          <w:rFonts w:cs="Arial"/>
          <w:sz w:val="28"/>
          <w:szCs w:val="28"/>
        </w:rPr>
        <w:t>.</w:t>
      </w:r>
    </w:p>
    <w:p w:rsidR="009438AE" w:rsidRDefault="009438AE" w:rsidP="00BD5CCC">
      <w:pPr>
        <w:pStyle w:val="corte4fondo"/>
        <w:tabs>
          <w:tab w:val="left" w:pos="8789"/>
        </w:tabs>
        <w:spacing w:line="276" w:lineRule="auto"/>
        <w:ind w:firstLine="708"/>
        <w:rPr>
          <w:rFonts w:cs="Arial"/>
          <w:sz w:val="28"/>
          <w:szCs w:val="28"/>
        </w:rPr>
      </w:pPr>
    </w:p>
    <w:p w:rsidR="00F44332" w:rsidRDefault="009438AE" w:rsidP="00BD5CCC">
      <w:pPr>
        <w:pStyle w:val="corte4fondo"/>
        <w:tabs>
          <w:tab w:val="left" w:pos="8789"/>
        </w:tabs>
        <w:spacing w:line="276" w:lineRule="auto"/>
        <w:ind w:firstLine="708"/>
        <w:rPr>
          <w:rFonts w:cs="Arial"/>
          <w:sz w:val="28"/>
          <w:szCs w:val="28"/>
        </w:rPr>
      </w:pPr>
      <w:r>
        <w:rPr>
          <w:rFonts w:cs="Arial"/>
          <w:sz w:val="28"/>
          <w:szCs w:val="28"/>
        </w:rPr>
        <w:t xml:space="preserve">Lo anterior con base en que las </w:t>
      </w:r>
      <w:r w:rsidR="00F44332" w:rsidRPr="004B037C">
        <w:rPr>
          <w:rFonts w:cs="Arial"/>
          <w:sz w:val="28"/>
          <w:szCs w:val="28"/>
        </w:rPr>
        <w:t>legislaturas locales tienen libertad configurativa para determinar las fechas del inicio y etapas del proceso electoral</w:t>
      </w:r>
      <w:r>
        <w:rPr>
          <w:rFonts w:cs="Arial"/>
          <w:sz w:val="28"/>
          <w:szCs w:val="28"/>
        </w:rPr>
        <w:t>, aunado a que el ajuste fue realizado dada la</w:t>
      </w:r>
      <w:r w:rsidR="00F44332" w:rsidRPr="004B037C">
        <w:rPr>
          <w:rFonts w:cs="Arial"/>
          <w:sz w:val="28"/>
          <w:szCs w:val="28"/>
        </w:rPr>
        <w:t xml:space="preserve"> situación de emergencia sanitaria por</w:t>
      </w:r>
      <w:r w:rsidR="00F44332">
        <w:rPr>
          <w:rFonts w:cs="Arial"/>
          <w:sz w:val="28"/>
          <w:szCs w:val="28"/>
        </w:rPr>
        <w:t xml:space="preserve"> </w:t>
      </w:r>
      <w:r w:rsidR="00F44332" w:rsidRPr="004B037C">
        <w:rPr>
          <w:rFonts w:cs="Arial"/>
          <w:sz w:val="28"/>
          <w:szCs w:val="28"/>
        </w:rPr>
        <w:t xml:space="preserve">COVID-19 y para cumplir con la obligación establecida en el artículo 2°, apartado A, fracción VII, de la Constitución </w:t>
      </w:r>
      <w:r>
        <w:rPr>
          <w:rFonts w:cs="Arial"/>
          <w:sz w:val="28"/>
          <w:szCs w:val="28"/>
        </w:rPr>
        <w:t>General</w:t>
      </w:r>
      <w:r w:rsidR="00F44332" w:rsidRPr="004B037C">
        <w:rPr>
          <w:rFonts w:cs="Arial"/>
          <w:sz w:val="28"/>
          <w:szCs w:val="28"/>
        </w:rPr>
        <w:t xml:space="preserve">. </w:t>
      </w:r>
    </w:p>
    <w:p w:rsidR="00F44332" w:rsidRDefault="00F44332" w:rsidP="00BD5CCC">
      <w:pPr>
        <w:pStyle w:val="corte4fondo"/>
        <w:tabs>
          <w:tab w:val="left" w:pos="8789"/>
        </w:tabs>
        <w:spacing w:line="276" w:lineRule="auto"/>
        <w:rPr>
          <w:rFonts w:cs="Arial"/>
          <w:sz w:val="28"/>
          <w:szCs w:val="28"/>
        </w:rPr>
      </w:pPr>
    </w:p>
    <w:p w:rsidR="00F44332" w:rsidRDefault="009438AE" w:rsidP="00BD5CCC">
      <w:pPr>
        <w:pStyle w:val="corte4fondo"/>
        <w:tabs>
          <w:tab w:val="left" w:pos="8789"/>
        </w:tabs>
        <w:spacing w:line="276" w:lineRule="auto"/>
        <w:rPr>
          <w:rFonts w:cs="Arial"/>
          <w:sz w:val="28"/>
          <w:szCs w:val="28"/>
        </w:rPr>
      </w:pPr>
      <w:r>
        <w:rPr>
          <w:rFonts w:cs="Arial"/>
          <w:sz w:val="28"/>
          <w:szCs w:val="28"/>
        </w:rPr>
        <w:t>Además, desde su perspectiva no hay</w:t>
      </w:r>
      <w:r w:rsidR="00F44332" w:rsidRPr="004B037C">
        <w:rPr>
          <w:rFonts w:cs="Arial"/>
          <w:sz w:val="28"/>
          <w:szCs w:val="28"/>
        </w:rPr>
        <w:t xml:space="preserve"> una infracción al artículo 2,</w:t>
      </w:r>
      <w:r>
        <w:rPr>
          <w:rFonts w:cs="Arial"/>
          <w:sz w:val="28"/>
          <w:szCs w:val="28"/>
        </w:rPr>
        <w:t xml:space="preserve"> apartado A, de la Constitución General</w:t>
      </w:r>
      <w:r w:rsidR="00F44332" w:rsidRPr="004B037C">
        <w:rPr>
          <w:rFonts w:cs="Arial"/>
          <w:sz w:val="28"/>
          <w:szCs w:val="28"/>
        </w:rPr>
        <w:t xml:space="preserve"> porque la reforma </w:t>
      </w:r>
      <w:r>
        <w:rPr>
          <w:rFonts w:cs="Arial"/>
          <w:sz w:val="28"/>
          <w:szCs w:val="28"/>
        </w:rPr>
        <w:t xml:space="preserve">tiene como objeto realizar </w:t>
      </w:r>
      <w:r w:rsidR="00F44332" w:rsidRPr="004B037C">
        <w:rPr>
          <w:rFonts w:cs="Arial"/>
          <w:sz w:val="28"/>
          <w:szCs w:val="28"/>
        </w:rPr>
        <w:t xml:space="preserve">los ajustes </w:t>
      </w:r>
      <w:r>
        <w:rPr>
          <w:rFonts w:cs="Arial"/>
          <w:sz w:val="28"/>
          <w:szCs w:val="28"/>
        </w:rPr>
        <w:t>para</w:t>
      </w:r>
      <w:r w:rsidR="00F44332" w:rsidRPr="004B037C">
        <w:rPr>
          <w:rFonts w:cs="Arial"/>
          <w:sz w:val="28"/>
          <w:szCs w:val="28"/>
        </w:rPr>
        <w:t xml:space="preserve"> legislar el derecho de representación de los pueblos y comunidades indígenas </w:t>
      </w:r>
      <w:r w:rsidR="00183903">
        <w:rPr>
          <w:rFonts w:cs="Arial"/>
          <w:sz w:val="28"/>
          <w:szCs w:val="28"/>
        </w:rPr>
        <w:t>en</w:t>
      </w:r>
      <w:r w:rsidR="00F44332" w:rsidRPr="004B037C">
        <w:rPr>
          <w:rFonts w:cs="Arial"/>
          <w:sz w:val="28"/>
          <w:szCs w:val="28"/>
        </w:rPr>
        <w:t xml:space="preserve"> los ayuntamientos, </w:t>
      </w:r>
      <w:r w:rsidR="00183903">
        <w:rPr>
          <w:rFonts w:cs="Arial"/>
          <w:sz w:val="28"/>
          <w:szCs w:val="28"/>
        </w:rPr>
        <w:t>sin que fuera realizado algún</w:t>
      </w:r>
      <w:r w:rsidR="00F44332" w:rsidRPr="004B037C">
        <w:rPr>
          <w:rFonts w:cs="Arial"/>
          <w:sz w:val="28"/>
          <w:szCs w:val="28"/>
        </w:rPr>
        <w:t xml:space="preserve"> ajuste que implique que la elección del representante indígena quede sujeto a  la convocatoria que emita el Congreso del Estado para renovar ayuntamientos.</w:t>
      </w:r>
    </w:p>
    <w:p w:rsidR="00F44332" w:rsidRDefault="00F44332" w:rsidP="00BD5CCC">
      <w:pPr>
        <w:pStyle w:val="corte4fondo"/>
        <w:tabs>
          <w:tab w:val="left" w:pos="8789"/>
        </w:tabs>
        <w:spacing w:line="276" w:lineRule="auto"/>
        <w:rPr>
          <w:rFonts w:cs="Arial"/>
          <w:sz w:val="28"/>
          <w:szCs w:val="28"/>
        </w:rPr>
      </w:pPr>
    </w:p>
    <w:p w:rsidR="00B9154F" w:rsidRDefault="008B0382" w:rsidP="00BD5CCC">
      <w:pPr>
        <w:pStyle w:val="corte4fondo"/>
        <w:tabs>
          <w:tab w:val="left" w:pos="8789"/>
        </w:tabs>
        <w:spacing w:line="276" w:lineRule="auto"/>
        <w:rPr>
          <w:rFonts w:cs="Arial"/>
          <w:sz w:val="28"/>
          <w:szCs w:val="28"/>
        </w:rPr>
      </w:pPr>
      <w:r>
        <w:rPr>
          <w:rFonts w:cs="Arial"/>
          <w:sz w:val="28"/>
          <w:szCs w:val="28"/>
        </w:rPr>
        <w:t>Por lo que hace al cuarto concepto de invalidez, en el cual el demandante impugna la r</w:t>
      </w:r>
      <w:r w:rsidR="00F44332">
        <w:rPr>
          <w:rFonts w:cs="Arial"/>
          <w:sz w:val="28"/>
          <w:szCs w:val="28"/>
        </w:rPr>
        <w:t>ealización de actos electorales antes de la expedición de la</w:t>
      </w:r>
      <w:r>
        <w:rPr>
          <w:rFonts w:cs="Arial"/>
          <w:sz w:val="28"/>
          <w:szCs w:val="28"/>
        </w:rPr>
        <w:t xml:space="preserve"> c</w:t>
      </w:r>
      <w:r w:rsidR="00F44332">
        <w:rPr>
          <w:rFonts w:cs="Arial"/>
          <w:sz w:val="28"/>
          <w:szCs w:val="28"/>
        </w:rPr>
        <w:t>onvocatoria para el inicio del proceso electoral, en particular, procedimientos para la postulación</w:t>
      </w:r>
      <w:r>
        <w:rPr>
          <w:rFonts w:cs="Arial"/>
          <w:sz w:val="28"/>
          <w:szCs w:val="28"/>
        </w:rPr>
        <w:t xml:space="preserve"> de candidaturas </w:t>
      </w:r>
      <w:r>
        <w:rPr>
          <w:rFonts w:cs="Arial"/>
          <w:sz w:val="28"/>
          <w:szCs w:val="28"/>
        </w:rPr>
        <w:lastRenderedPageBreak/>
        <w:t>independientes, l</w:t>
      </w:r>
      <w:r w:rsidR="00F44332">
        <w:rPr>
          <w:rFonts w:cs="Arial"/>
          <w:sz w:val="28"/>
          <w:szCs w:val="28"/>
        </w:rPr>
        <w:t>a Sala Superior</w:t>
      </w:r>
      <w:r w:rsidR="00F44332" w:rsidRPr="005F671D">
        <w:rPr>
          <w:rFonts w:cs="Arial"/>
          <w:sz w:val="28"/>
          <w:szCs w:val="28"/>
        </w:rPr>
        <w:t xml:space="preserve"> considera inconstitucional la porción normativa </w:t>
      </w:r>
      <w:r w:rsidR="00F44332">
        <w:rPr>
          <w:rFonts w:cs="Arial"/>
          <w:sz w:val="28"/>
          <w:szCs w:val="28"/>
        </w:rPr>
        <w:t>de</w:t>
      </w:r>
      <w:r w:rsidR="00F44332" w:rsidRPr="005F671D">
        <w:rPr>
          <w:rFonts w:cs="Arial"/>
          <w:sz w:val="28"/>
          <w:szCs w:val="28"/>
        </w:rPr>
        <w:t>l artículo 79, párrafo segundo</w:t>
      </w:r>
      <w:r>
        <w:rPr>
          <w:rFonts w:cs="Arial"/>
          <w:sz w:val="28"/>
          <w:szCs w:val="28"/>
        </w:rPr>
        <w:t>,</w:t>
      </w:r>
      <w:r w:rsidR="00F44332" w:rsidRPr="005F671D">
        <w:rPr>
          <w:rFonts w:cs="Arial"/>
          <w:sz w:val="28"/>
          <w:szCs w:val="28"/>
        </w:rPr>
        <w:t xml:space="preserve"> referente a “Dentro los últimos siete días del mes de octubre d</w:t>
      </w:r>
      <w:r w:rsidR="00B9154F">
        <w:rPr>
          <w:rFonts w:cs="Arial"/>
          <w:sz w:val="28"/>
          <w:szCs w:val="28"/>
        </w:rPr>
        <w:t>el año anterior a la elección”.</w:t>
      </w:r>
    </w:p>
    <w:p w:rsidR="00B9154F" w:rsidRDefault="00B9154F" w:rsidP="00BD5CCC">
      <w:pPr>
        <w:pStyle w:val="corte4fondo"/>
        <w:tabs>
          <w:tab w:val="left" w:pos="8789"/>
        </w:tabs>
        <w:spacing w:line="276" w:lineRule="auto"/>
        <w:rPr>
          <w:rFonts w:cs="Arial"/>
          <w:sz w:val="28"/>
          <w:szCs w:val="28"/>
        </w:rPr>
      </w:pPr>
    </w:p>
    <w:p w:rsidR="00F44332" w:rsidRDefault="00B9154F" w:rsidP="00BD5CCC">
      <w:pPr>
        <w:pStyle w:val="corte4fondo"/>
        <w:tabs>
          <w:tab w:val="left" w:pos="8789"/>
        </w:tabs>
        <w:spacing w:line="276" w:lineRule="auto"/>
        <w:rPr>
          <w:rFonts w:cs="Arial"/>
          <w:sz w:val="28"/>
          <w:szCs w:val="28"/>
        </w:rPr>
      </w:pPr>
      <w:r>
        <w:rPr>
          <w:rFonts w:cs="Arial"/>
          <w:sz w:val="28"/>
          <w:szCs w:val="28"/>
        </w:rPr>
        <w:t>Ello debido a que</w:t>
      </w:r>
      <w:r w:rsidR="00F44332" w:rsidRPr="005F671D">
        <w:rPr>
          <w:rFonts w:cs="Arial"/>
          <w:sz w:val="28"/>
          <w:szCs w:val="28"/>
        </w:rPr>
        <w:t xml:space="preserve"> la existencia de actos propios de la preparación del proceso electoral antes del inicio formal del proceso electoral</w:t>
      </w:r>
      <w:r>
        <w:rPr>
          <w:rFonts w:cs="Arial"/>
          <w:sz w:val="28"/>
          <w:szCs w:val="28"/>
        </w:rPr>
        <w:t xml:space="preserve"> infringe </w:t>
      </w:r>
      <w:r w:rsidR="00F44332" w:rsidRPr="005F671D">
        <w:rPr>
          <w:rFonts w:cs="Arial"/>
          <w:sz w:val="28"/>
          <w:szCs w:val="28"/>
        </w:rPr>
        <w:t xml:space="preserve">el principio de certeza, </w:t>
      </w:r>
      <w:r>
        <w:rPr>
          <w:rFonts w:cs="Arial"/>
          <w:sz w:val="28"/>
          <w:szCs w:val="28"/>
        </w:rPr>
        <w:t xml:space="preserve">pues </w:t>
      </w:r>
      <w:r w:rsidR="00F44332" w:rsidRPr="005F671D">
        <w:rPr>
          <w:rFonts w:cs="Arial"/>
          <w:sz w:val="28"/>
          <w:szCs w:val="28"/>
        </w:rPr>
        <w:t xml:space="preserve">los actos </w:t>
      </w:r>
      <w:r>
        <w:rPr>
          <w:rFonts w:cs="Arial"/>
          <w:sz w:val="28"/>
          <w:szCs w:val="28"/>
        </w:rPr>
        <w:t>propios de la etapa de</w:t>
      </w:r>
      <w:r w:rsidR="00F44332" w:rsidRPr="005F671D">
        <w:rPr>
          <w:rFonts w:cs="Arial"/>
          <w:sz w:val="28"/>
          <w:szCs w:val="28"/>
        </w:rPr>
        <w:t xml:space="preserve"> preparación de la elección deben comprenderse dent</w:t>
      </w:r>
      <w:r>
        <w:rPr>
          <w:rFonts w:cs="Arial"/>
          <w:sz w:val="28"/>
          <w:szCs w:val="28"/>
        </w:rPr>
        <w:t>ro del propio proceso electoral</w:t>
      </w:r>
      <w:r w:rsidR="00F44332" w:rsidRPr="005F671D">
        <w:rPr>
          <w:rFonts w:cs="Arial"/>
          <w:sz w:val="28"/>
          <w:szCs w:val="28"/>
        </w:rPr>
        <w:t xml:space="preserve"> y no antes.</w:t>
      </w:r>
    </w:p>
    <w:p w:rsidR="00F44332" w:rsidRDefault="00F44332" w:rsidP="00BD5CCC">
      <w:pPr>
        <w:pStyle w:val="corte4fondo"/>
        <w:tabs>
          <w:tab w:val="left" w:pos="8789"/>
        </w:tabs>
        <w:spacing w:line="276" w:lineRule="auto"/>
        <w:rPr>
          <w:rFonts w:cs="Arial"/>
          <w:sz w:val="28"/>
          <w:szCs w:val="28"/>
        </w:rPr>
      </w:pPr>
    </w:p>
    <w:p w:rsidR="00F44332" w:rsidRDefault="00F44332" w:rsidP="00BD5CCC">
      <w:pPr>
        <w:pStyle w:val="corte4fondo"/>
        <w:tabs>
          <w:tab w:val="left" w:pos="8789"/>
        </w:tabs>
        <w:spacing w:line="276" w:lineRule="auto"/>
        <w:rPr>
          <w:rFonts w:cs="Arial"/>
          <w:sz w:val="28"/>
          <w:szCs w:val="28"/>
        </w:rPr>
      </w:pPr>
      <w:r>
        <w:rPr>
          <w:rFonts w:cs="Arial"/>
          <w:sz w:val="28"/>
          <w:szCs w:val="28"/>
        </w:rPr>
        <w:t xml:space="preserve">En ese sentido, </w:t>
      </w:r>
      <w:r w:rsidR="00B9154F">
        <w:rPr>
          <w:rFonts w:cs="Arial"/>
          <w:sz w:val="28"/>
          <w:szCs w:val="28"/>
        </w:rPr>
        <w:t xml:space="preserve">la Sala sostiene que </w:t>
      </w:r>
      <w:r>
        <w:rPr>
          <w:rFonts w:cs="Arial"/>
          <w:sz w:val="28"/>
          <w:szCs w:val="28"/>
        </w:rPr>
        <w:t>l</w:t>
      </w:r>
      <w:r w:rsidRPr="005F671D">
        <w:rPr>
          <w:rFonts w:cs="Arial"/>
          <w:sz w:val="28"/>
          <w:szCs w:val="28"/>
        </w:rPr>
        <w:t xml:space="preserve">a regulación del proceso electoral amerita una delimitación precisa de cada una de las etapas que lo conforman, tanto respecto de su debida duración, como en cuanto a las fechas de inicio y conclusión de cada una de ellas, pues lo contrario </w:t>
      </w:r>
      <w:r w:rsidR="00B9154F">
        <w:rPr>
          <w:rFonts w:cs="Arial"/>
          <w:sz w:val="28"/>
          <w:szCs w:val="28"/>
        </w:rPr>
        <w:t xml:space="preserve">genera </w:t>
      </w:r>
      <w:r w:rsidRPr="005F671D">
        <w:rPr>
          <w:rFonts w:cs="Arial"/>
          <w:sz w:val="28"/>
          <w:szCs w:val="28"/>
        </w:rPr>
        <w:t xml:space="preserve">situaciones de incertidumbre </w:t>
      </w:r>
      <w:r w:rsidR="00B9154F">
        <w:rPr>
          <w:rFonts w:cs="Arial"/>
          <w:sz w:val="28"/>
          <w:szCs w:val="28"/>
        </w:rPr>
        <w:t>y falta de certeza</w:t>
      </w:r>
      <w:r w:rsidRPr="005F671D">
        <w:rPr>
          <w:rFonts w:cs="Arial"/>
          <w:sz w:val="28"/>
          <w:szCs w:val="28"/>
        </w:rPr>
        <w:t xml:space="preserve"> si es que dichas etapas se anticipan o superponen indebidamente, cuando ameritan un desarrollo sucesivo. </w:t>
      </w:r>
    </w:p>
    <w:p w:rsidR="00F44332" w:rsidRPr="005F671D" w:rsidRDefault="00F44332" w:rsidP="00BD5CCC">
      <w:pPr>
        <w:pStyle w:val="corte4fondo"/>
        <w:tabs>
          <w:tab w:val="left" w:pos="8789"/>
        </w:tabs>
        <w:spacing w:line="276" w:lineRule="auto"/>
        <w:rPr>
          <w:rFonts w:cs="Arial"/>
          <w:sz w:val="28"/>
          <w:szCs w:val="28"/>
        </w:rPr>
      </w:pPr>
    </w:p>
    <w:p w:rsidR="00F44332" w:rsidRDefault="00F44332" w:rsidP="00BD5CCC">
      <w:pPr>
        <w:pStyle w:val="corte4fondo"/>
        <w:tabs>
          <w:tab w:val="left" w:pos="8789"/>
        </w:tabs>
        <w:spacing w:line="276" w:lineRule="auto"/>
        <w:rPr>
          <w:rFonts w:cs="Arial"/>
          <w:sz w:val="28"/>
          <w:szCs w:val="28"/>
        </w:rPr>
      </w:pPr>
      <w:r w:rsidRPr="005F671D">
        <w:rPr>
          <w:rFonts w:cs="Arial"/>
          <w:sz w:val="28"/>
          <w:szCs w:val="28"/>
        </w:rPr>
        <w:t>En el caso</w:t>
      </w:r>
      <w:r w:rsidR="00B9154F">
        <w:rPr>
          <w:rFonts w:cs="Arial"/>
          <w:sz w:val="28"/>
          <w:szCs w:val="28"/>
        </w:rPr>
        <w:t>,</w:t>
      </w:r>
      <w:r w:rsidRPr="005F671D">
        <w:rPr>
          <w:rFonts w:cs="Arial"/>
          <w:sz w:val="28"/>
          <w:szCs w:val="28"/>
        </w:rPr>
        <w:t xml:space="preserve"> </w:t>
      </w:r>
      <w:r w:rsidR="00B9154F">
        <w:rPr>
          <w:rFonts w:cs="Arial"/>
          <w:sz w:val="28"/>
          <w:szCs w:val="28"/>
        </w:rPr>
        <w:t>en la ley electoral l</w:t>
      </w:r>
      <w:r w:rsidRPr="005F671D">
        <w:rPr>
          <w:rFonts w:cs="Arial"/>
          <w:sz w:val="28"/>
          <w:szCs w:val="28"/>
        </w:rPr>
        <w:t>ocal el legislador estableció fechas específicas para el inicio del proceso electoral ordinario (la primera quincena del mes de diciembre del año previo al año de la elección) y para el procedimiento de postulación de candidatos independientes a diversos cargos de elección popular</w:t>
      </w:r>
      <w:r w:rsidR="00B9154F">
        <w:rPr>
          <w:rFonts w:cs="Arial"/>
          <w:sz w:val="28"/>
          <w:szCs w:val="28"/>
        </w:rPr>
        <w:t xml:space="preserve"> (en el mes de octubre del año previo a la elección), </w:t>
      </w:r>
      <w:r w:rsidRPr="005F671D">
        <w:rPr>
          <w:rFonts w:cs="Arial"/>
          <w:sz w:val="28"/>
          <w:szCs w:val="28"/>
        </w:rPr>
        <w:t xml:space="preserve"> lo cual</w:t>
      </w:r>
      <w:r w:rsidR="00BD5CCC">
        <w:rPr>
          <w:rFonts w:cs="Arial"/>
          <w:sz w:val="28"/>
          <w:szCs w:val="28"/>
        </w:rPr>
        <w:t xml:space="preserve"> además</w:t>
      </w:r>
      <w:r w:rsidRPr="005F671D">
        <w:rPr>
          <w:rFonts w:cs="Arial"/>
          <w:sz w:val="28"/>
          <w:szCs w:val="28"/>
        </w:rPr>
        <w:t xml:space="preserve"> repercut</w:t>
      </w:r>
      <w:r w:rsidR="00BD5CCC">
        <w:rPr>
          <w:rFonts w:cs="Arial"/>
          <w:sz w:val="28"/>
          <w:szCs w:val="28"/>
        </w:rPr>
        <w:t>e</w:t>
      </w:r>
      <w:r w:rsidRPr="005F671D">
        <w:rPr>
          <w:rFonts w:cs="Arial"/>
          <w:sz w:val="28"/>
          <w:szCs w:val="28"/>
        </w:rPr>
        <w:t xml:space="preserve"> en las etapas de manifestación de intención y obtención del apoyo ciudadano, en la distribución de prerrogativas y </w:t>
      </w:r>
      <w:r w:rsidR="00BD5CCC">
        <w:rPr>
          <w:rFonts w:cs="Arial"/>
          <w:sz w:val="28"/>
          <w:szCs w:val="28"/>
        </w:rPr>
        <w:t xml:space="preserve">en el </w:t>
      </w:r>
      <w:r w:rsidRPr="005F671D">
        <w:rPr>
          <w:rFonts w:cs="Arial"/>
          <w:sz w:val="28"/>
          <w:szCs w:val="28"/>
        </w:rPr>
        <w:t xml:space="preserve">tiempo de exposición de candidaturas. </w:t>
      </w:r>
    </w:p>
    <w:p w:rsidR="00F44332" w:rsidRPr="005F671D" w:rsidRDefault="00F44332" w:rsidP="00BD5CCC">
      <w:pPr>
        <w:pStyle w:val="corte4fondo"/>
        <w:tabs>
          <w:tab w:val="left" w:pos="8789"/>
        </w:tabs>
        <w:spacing w:line="276" w:lineRule="auto"/>
        <w:rPr>
          <w:rFonts w:cs="Arial"/>
          <w:sz w:val="28"/>
          <w:szCs w:val="28"/>
        </w:rPr>
      </w:pPr>
    </w:p>
    <w:p w:rsidR="00F44332" w:rsidRDefault="00F44332" w:rsidP="00BD5CCC">
      <w:pPr>
        <w:pStyle w:val="corte4fondo"/>
        <w:tabs>
          <w:tab w:val="left" w:pos="8789"/>
        </w:tabs>
        <w:spacing w:line="276" w:lineRule="auto"/>
        <w:rPr>
          <w:rFonts w:cs="Arial"/>
          <w:sz w:val="28"/>
          <w:szCs w:val="28"/>
        </w:rPr>
      </w:pPr>
      <w:r w:rsidRPr="005F671D">
        <w:rPr>
          <w:rFonts w:cs="Arial"/>
          <w:sz w:val="28"/>
          <w:szCs w:val="28"/>
        </w:rPr>
        <w:t>Además, que se permita que los procesos de selección de candidatos independientes antes de la constitución de los consejos electorales distritales y municipales (los cuales se instalarán durante la segunda quincena del mes de enero del año en que se celebren las elecciones ordinarias)</w:t>
      </w:r>
      <w:r w:rsidR="00BD5CCC">
        <w:rPr>
          <w:rFonts w:cs="Arial"/>
          <w:sz w:val="28"/>
          <w:szCs w:val="28"/>
        </w:rPr>
        <w:t>,</w:t>
      </w:r>
      <w:r w:rsidRPr="005F671D">
        <w:rPr>
          <w:rFonts w:cs="Arial"/>
          <w:sz w:val="28"/>
          <w:szCs w:val="28"/>
        </w:rPr>
        <w:t xml:space="preserve"> impacta en la organización de la autoridad administrativa electoral</w:t>
      </w:r>
      <w:r w:rsidR="00BD5CCC">
        <w:rPr>
          <w:rFonts w:cs="Arial"/>
          <w:sz w:val="28"/>
          <w:szCs w:val="28"/>
        </w:rPr>
        <w:t xml:space="preserve"> y </w:t>
      </w:r>
      <w:r w:rsidRPr="005F671D">
        <w:rPr>
          <w:rFonts w:cs="Arial"/>
          <w:sz w:val="28"/>
          <w:szCs w:val="28"/>
        </w:rPr>
        <w:t>en la posibilidad de impugna</w:t>
      </w:r>
      <w:r w:rsidR="00BD5CCC">
        <w:rPr>
          <w:rFonts w:cs="Arial"/>
          <w:sz w:val="28"/>
          <w:szCs w:val="28"/>
        </w:rPr>
        <w:t xml:space="preserve">r </w:t>
      </w:r>
      <w:r w:rsidRPr="005F671D">
        <w:rPr>
          <w:rFonts w:cs="Arial"/>
          <w:sz w:val="28"/>
          <w:szCs w:val="28"/>
        </w:rPr>
        <w:t>d</w:t>
      </w:r>
      <w:r w:rsidR="00BD5CCC">
        <w:rPr>
          <w:rFonts w:cs="Arial"/>
          <w:sz w:val="28"/>
          <w:szCs w:val="28"/>
        </w:rPr>
        <w:t>ichos procesos y sus resultados</w:t>
      </w:r>
      <w:r w:rsidRPr="005F671D">
        <w:rPr>
          <w:rFonts w:cs="Arial"/>
          <w:sz w:val="28"/>
          <w:szCs w:val="28"/>
        </w:rPr>
        <w:t xml:space="preserve"> en fechas donde aún no inicia el proceso electoral.</w:t>
      </w:r>
    </w:p>
    <w:p w:rsidR="003713DC" w:rsidRDefault="003713DC" w:rsidP="00BD5CCC">
      <w:pPr>
        <w:autoSpaceDE w:val="0"/>
        <w:autoSpaceDN w:val="0"/>
        <w:adjustRightInd w:val="0"/>
        <w:ind w:firstLine="0"/>
        <w:rPr>
          <w:rFonts w:cs="Arial"/>
          <w:szCs w:val="28"/>
          <w:lang w:val="es-ES_tradnl"/>
        </w:rPr>
      </w:pPr>
    </w:p>
    <w:p w:rsidR="00EB6738" w:rsidRPr="00BD5CCC" w:rsidRDefault="00BD5CCC" w:rsidP="00BD5CCC">
      <w:pPr>
        <w:autoSpaceDE w:val="0"/>
        <w:autoSpaceDN w:val="0"/>
        <w:adjustRightInd w:val="0"/>
        <w:rPr>
          <w:rFonts w:cs="Arial"/>
          <w:szCs w:val="28"/>
        </w:rPr>
      </w:pPr>
      <w:r w:rsidRPr="00BD5CCC">
        <w:rPr>
          <w:rFonts w:cs="Arial"/>
          <w:szCs w:val="28"/>
          <w:lang w:val="es-ES_tradnl"/>
        </w:rPr>
        <w:lastRenderedPageBreak/>
        <w:t xml:space="preserve">Por otro lado, </w:t>
      </w:r>
      <w:r w:rsidRPr="00BD5CCC">
        <w:rPr>
          <w:rFonts w:cs="Arial"/>
          <w:szCs w:val="28"/>
        </w:rPr>
        <w:t>m</w:t>
      </w:r>
      <w:r w:rsidR="00EC4E38" w:rsidRPr="00BD5CCC">
        <w:rPr>
          <w:rFonts w:cs="Arial"/>
          <w:szCs w:val="28"/>
        </w:rPr>
        <w:t xml:space="preserve">ediante oficio IEES/0449/2020, la Consejera Presidenta del Instituto Electoral Estatal de Sinaloa </w:t>
      </w:r>
      <w:r w:rsidR="00EB6738" w:rsidRPr="00BD5CCC">
        <w:rPr>
          <w:rFonts w:cs="Arial"/>
          <w:szCs w:val="28"/>
        </w:rPr>
        <w:t>informó que el proceso electoral en esa entidad</w:t>
      </w:r>
      <w:r w:rsidR="00916B06">
        <w:rPr>
          <w:rFonts w:cs="Arial"/>
          <w:szCs w:val="28"/>
        </w:rPr>
        <w:t xml:space="preserve"> federativa</w:t>
      </w:r>
      <w:r w:rsidR="00EB6738" w:rsidRPr="00BD5CCC">
        <w:rPr>
          <w:rFonts w:cs="Arial"/>
          <w:szCs w:val="28"/>
        </w:rPr>
        <w:t xml:space="preserve"> </w:t>
      </w:r>
      <w:r w:rsidR="00916B06">
        <w:rPr>
          <w:rFonts w:cs="Arial"/>
          <w:szCs w:val="28"/>
        </w:rPr>
        <w:t xml:space="preserve">iniciará </w:t>
      </w:r>
      <w:r w:rsidR="00052968">
        <w:rPr>
          <w:rFonts w:cs="Arial"/>
          <w:szCs w:val="28"/>
        </w:rPr>
        <w:t xml:space="preserve">en la primera </w:t>
      </w:r>
      <w:r w:rsidR="00EC4E38" w:rsidRPr="00BD5CCC">
        <w:rPr>
          <w:rFonts w:cs="Arial"/>
          <w:szCs w:val="28"/>
        </w:rPr>
        <w:t>quincena del mes de diciembre de dos mil veinte.</w:t>
      </w:r>
      <w:r w:rsidR="00EB6738" w:rsidRPr="00BD5CCC">
        <w:rPr>
          <w:rFonts w:cs="Arial"/>
          <w:szCs w:val="28"/>
        </w:rPr>
        <w:t xml:space="preserve"> </w:t>
      </w:r>
    </w:p>
    <w:p w:rsidR="003713DC" w:rsidRPr="008D4992" w:rsidRDefault="003713DC" w:rsidP="00384192">
      <w:pPr>
        <w:pStyle w:val="corte4fondo"/>
        <w:spacing w:line="276" w:lineRule="auto"/>
        <w:rPr>
          <w:rFonts w:cs="Arial"/>
          <w:sz w:val="28"/>
          <w:szCs w:val="28"/>
        </w:rPr>
      </w:pPr>
    </w:p>
    <w:p w:rsidR="0006034D" w:rsidRPr="0006034D" w:rsidRDefault="00916B06" w:rsidP="0006034D">
      <w:pPr>
        <w:pStyle w:val="Ttulo2"/>
        <w:rPr>
          <w:b w:val="0"/>
        </w:rPr>
      </w:pPr>
      <w:r w:rsidRPr="007C7A41">
        <w:t xml:space="preserve">QUINTO. Alegatos. </w:t>
      </w:r>
      <w:r w:rsidR="0006034D" w:rsidRPr="007C7A41">
        <w:rPr>
          <w:b w:val="0"/>
        </w:rPr>
        <w:t>Por</w:t>
      </w:r>
      <w:r w:rsidR="0006034D" w:rsidRPr="0006034D">
        <w:rPr>
          <w:b w:val="0"/>
        </w:rPr>
        <w:t xml:space="preserve"> escrito recibido electrónicamente el ocho de agosto de dos mil veinte, José Ramón Bonilla Rojas, delegado del Partido Sinaloense rindió los siguientes alegatos.</w:t>
      </w:r>
    </w:p>
    <w:p w:rsidR="0006034D" w:rsidRDefault="0006034D" w:rsidP="00D758D4"/>
    <w:p w:rsidR="0006034D" w:rsidRDefault="0006034D" w:rsidP="00D758D4">
      <w:r>
        <w:t>Objetó el informe rendido por el Congreso local porque la firma electrónica no corresponde a la Presidenta de la Mesa Directiva, ni al Legislativo local.</w:t>
      </w:r>
    </w:p>
    <w:p w:rsidR="0006034D" w:rsidRDefault="0006034D" w:rsidP="00D758D4"/>
    <w:p w:rsidR="0006034D" w:rsidRDefault="0006034D" w:rsidP="00D758D4">
      <w:r>
        <w:t>Calificó como inadecuado que el Congreso del Estado de Sinaloa suspendiera sus labores con motivo de la pandemia porque de acuerdo con el Consejo General de Salubridad la actividad legislativa es considerada como esencial, en ese sentido, también es inadecuado el proceder legislativo respecto de la reforma para diferir la emisión de la convocatoria a elecciones.</w:t>
      </w:r>
    </w:p>
    <w:p w:rsidR="0006034D" w:rsidRDefault="0006034D" w:rsidP="00D758D4"/>
    <w:p w:rsidR="0006034D" w:rsidRDefault="0006034D" w:rsidP="00D758D4">
      <w:r>
        <w:t xml:space="preserve">Señaló que al sostener que la elección del representante de las comunidades indígenas ante los ayuntamientos no se sujeta a ninguna modalidad, el Congreso local ignora el contenido de la reforma al artículo 2 de la constitución Federal publicada en </w:t>
      </w:r>
      <w:r w:rsidR="00052968">
        <w:t>dos mil uno</w:t>
      </w:r>
      <w:r>
        <w:t xml:space="preserve"> y por ende los principios de autonomía y libre determinación que gozan los pueblos y comunidades indígenas.</w:t>
      </w:r>
    </w:p>
    <w:p w:rsidR="0006034D" w:rsidRDefault="0006034D" w:rsidP="00D758D4"/>
    <w:p w:rsidR="0006034D" w:rsidRDefault="0006034D" w:rsidP="00D758D4">
      <w:r>
        <w:t>El partido político demandante insistió en que el Congreso estatal ignora todas las implicaciones de reconocer los sistemas electivos de las comunidades indígenas.</w:t>
      </w:r>
    </w:p>
    <w:p w:rsidR="0006034D" w:rsidRDefault="0006034D" w:rsidP="00D758D4"/>
    <w:p w:rsidR="0006034D" w:rsidRDefault="0006034D" w:rsidP="00D758D4">
      <w:r>
        <w:t xml:space="preserve">Alegó que los legisladores locales no son aptos para diferenciar entre procesos electorales de la democracia representativa y los que son de la democracia comunitaria porque el aplazamiento de la convocatoria a elecciones se sustentó en una sentencia dictada por la Sala Superior del Tribunal Electoral del Poder Judicial de la </w:t>
      </w:r>
      <w:r>
        <w:lastRenderedPageBreak/>
        <w:t>Federación en la que se ordenó legislar sobre el representante de las comunidades indígenas ante el ayuntamiento.</w:t>
      </w:r>
    </w:p>
    <w:p w:rsidR="0006034D" w:rsidRDefault="0006034D" w:rsidP="00D758D4"/>
    <w:p w:rsidR="0006034D" w:rsidRDefault="0006034D" w:rsidP="00D758D4">
      <w:r>
        <w:t>Sostuvo que el Congreso local desconoce que la inconstitucionalidad de una ley no solo puede inferirse de la interpretación gramatical sino que también puede referirse también de la exégesis del texto sobre cuál fue la intención del legislador.</w:t>
      </w:r>
    </w:p>
    <w:p w:rsidR="0006034D" w:rsidRDefault="0006034D" w:rsidP="00D758D4"/>
    <w:p w:rsidR="0006034D" w:rsidRDefault="0006034D" w:rsidP="00D758D4">
      <w:r>
        <w:t>Señaló que en este caso, se debió legislar con perspectiva intercultural, situación q</w:t>
      </w:r>
      <w:r w:rsidR="00143D16">
        <w:t>ue el Congreso local no realizó y r</w:t>
      </w:r>
      <w:r>
        <w:t xml:space="preserve">eiteró que el procedimiento legislativo contravino los principios que rigen la democracia representativa. </w:t>
      </w:r>
    </w:p>
    <w:p w:rsidR="0006034D" w:rsidRDefault="0006034D" w:rsidP="00D758D4"/>
    <w:p w:rsidR="0026306D" w:rsidRPr="00EE4349" w:rsidRDefault="0006034D" w:rsidP="00D758D4">
      <w:pPr>
        <w:rPr>
          <w:highlight w:val="yellow"/>
        </w:rPr>
      </w:pPr>
      <w:r>
        <w:t xml:space="preserve">Finalmente, sostuvo que ante la falta de argumentos en el informe del Congreso local debe declararse </w:t>
      </w:r>
      <w:r w:rsidR="00143D16">
        <w:t>procedente y fundada</w:t>
      </w:r>
      <w:r>
        <w:t xml:space="preserve"> </w:t>
      </w:r>
      <w:r w:rsidR="00143D16">
        <w:t>la acción de inconstitucionalidad.</w:t>
      </w:r>
    </w:p>
    <w:p w:rsidR="00EE4349" w:rsidRPr="00D758D4" w:rsidRDefault="00EE4349" w:rsidP="00D758D4"/>
    <w:p w:rsidR="00EE4349" w:rsidRDefault="00D758D4" w:rsidP="00D758D4">
      <w:r w:rsidRPr="00D758D4">
        <w:t>Por otro lado, e</w:t>
      </w:r>
      <w:r w:rsidR="00EE4349" w:rsidRPr="00D758D4">
        <w:t>l Fiscal General de la República no formuló opinión.</w:t>
      </w:r>
    </w:p>
    <w:p w:rsidR="00EE4349" w:rsidRPr="008D4992" w:rsidRDefault="00EE4349" w:rsidP="00D758D4"/>
    <w:p w:rsidR="00D017A0" w:rsidRDefault="00EE4349" w:rsidP="00D758D4">
      <w:pPr>
        <w:pStyle w:val="Ttulo2"/>
        <w:rPr>
          <w:b w:val="0"/>
        </w:rPr>
      </w:pPr>
      <w:r>
        <w:t>SEXTO</w:t>
      </w:r>
      <w:r w:rsidR="006C67C4" w:rsidRPr="008D4992">
        <w:t>.</w:t>
      </w:r>
      <w:r w:rsidR="005F671D">
        <w:t xml:space="preserve"> </w:t>
      </w:r>
      <w:r w:rsidRPr="00D758D4">
        <w:rPr>
          <w:b w:val="0"/>
        </w:rPr>
        <w:t>Recibidos los informes de las autoridades y la opinión de la Sala Superior del Tribunal Electoral del Poder Judicial de la Federación, formulados los alegatos e instruido el procedimiento, fue puesto el expediente en estado de resolución</w:t>
      </w:r>
      <w:r w:rsidR="007C7A41">
        <w:rPr>
          <w:b w:val="0"/>
        </w:rPr>
        <w:t xml:space="preserve"> mediante acuerdo de </w:t>
      </w:r>
      <w:r w:rsidR="00143D16">
        <w:rPr>
          <w:b w:val="0"/>
        </w:rPr>
        <w:t>catorce de octubre de dos mil veinte</w:t>
      </w:r>
      <w:r w:rsidRPr="00D758D4">
        <w:rPr>
          <w:b w:val="0"/>
        </w:rPr>
        <w:t>.</w:t>
      </w:r>
    </w:p>
    <w:p w:rsidR="00D758D4" w:rsidRPr="00D758D4" w:rsidRDefault="00D758D4" w:rsidP="00D758D4">
      <w:pPr>
        <w:rPr>
          <w:lang w:val="es-ES" w:eastAsia="es-ES"/>
        </w:rPr>
      </w:pPr>
    </w:p>
    <w:p w:rsidR="00EE4349" w:rsidRPr="008D4992" w:rsidRDefault="00D017A0" w:rsidP="00EE4349">
      <w:pPr>
        <w:autoSpaceDE w:val="0"/>
        <w:autoSpaceDN w:val="0"/>
        <w:adjustRightInd w:val="0"/>
        <w:ind w:firstLine="0"/>
        <w:jc w:val="center"/>
        <w:outlineLvl w:val="0"/>
        <w:rPr>
          <w:rFonts w:cs="Arial"/>
          <w:b/>
          <w:bCs/>
          <w:szCs w:val="28"/>
          <w:lang w:val="es-ES_tradnl"/>
        </w:rPr>
      </w:pPr>
      <w:r w:rsidRPr="008D4992">
        <w:rPr>
          <w:rFonts w:cs="Arial"/>
          <w:b/>
          <w:bCs/>
          <w:szCs w:val="28"/>
          <w:lang w:val="es-ES_tradnl"/>
        </w:rPr>
        <w:t>C</w:t>
      </w:r>
      <w:r w:rsidR="00EE4349">
        <w:rPr>
          <w:rFonts w:cs="Arial"/>
          <w:b/>
          <w:bCs/>
          <w:szCs w:val="28"/>
          <w:lang w:val="es-ES_tradnl"/>
        </w:rPr>
        <w:t xml:space="preserve"> O N S I D E R A N D O</w:t>
      </w:r>
    </w:p>
    <w:p w:rsidR="00D017A0" w:rsidRPr="008D4992" w:rsidRDefault="00D017A0" w:rsidP="00384192">
      <w:pPr>
        <w:autoSpaceDE w:val="0"/>
        <w:autoSpaceDN w:val="0"/>
        <w:adjustRightInd w:val="0"/>
        <w:rPr>
          <w:rFonts w:cs="Arial"/>
          <w:b/>
          <w:bCs/>
          <w:szCs w:val="28"/>
          <w:lang w:val="es-ES_tradnl"/>
        </w:rPr>
      </w:pPr>
    </w:p>
    <w:p w:rsidR="00D017A0" w:rsidRPr="004C4A53" w:rsidRDefault="00A95045" w:rsidP="00143D16">
      <w:pPr>
        <w:pStyle w:val="Ttulo2"/>
        <w:keepNext w:val="0"/>
        <w:keepLines w:val="0"/>
        <w:rPr>
          <w:b w:val="0"/>
        </w:rPr>
      </w:pPr>
      <w:r w:rsidRPr="008D4992">
        <w:t>PRIMERO</w:t>
      </w:r>
      <w:r w:rsidR="00D017A0" w:rsidRPr="008D4992">
        <w:t xml:space="preserve">. </w:t>
      </w:r>
      <w:r w:rsidR="007F7F0C" w:rsidRPr="008D4992">
        <w:t xml:space="preserve">Competencia. </w:t>
      </w:r>
      <w:r w:rsidR="00EE4349" w:rsidRPr="004C4A53">
        <w:rPr>
          <w:b w:val="0"/>
        </w:rPr>
        <w:t>Este Tribunal Pleno de la Suprema Corte de Justicia de la Nación es competente para resolver estas acciones de inconstitucionalidad, de conformidad con lo dispuesto por los artículos 105, fracción II, inciso f), de la Constitución Política de los Estados Unidos Mexicanos y 10, fracción I, de la Ley Orgánica del Poder Judicial de la Federación, debido a que se plantea la posible contradicción entre diversos artículos en materia electoral de la Ley de Instituciones y Procedimientos Electorales del Estado de Sinaloa y la Constitución Política de los Estados Unidos Mexicanos</w:t>
      </w:r>
      <w:r w:rsidR="007046C9" w:rsidRPr="004C4A53">
        <w:rPr>
          <w:b w:val="0"/>
        </w:rPr>
        <w:t>.</w:t>
      </w:r>
    </w:p>
    <w:p w:rsidR="00D017A0" w:rsidRPr="008D4992" w:rsidRDefault="00143D16" w:rsidP="00143D16">
      <w:pPr>
        <w:tabs>
          <w:tab w:val="left" w:pos="2640"/>
        </w:tabs>
        <w:autoSpaceDE w:val="0"/>
        <w:autoSpaceDN w:val="0"/>
        <w:adjustRightInd w:val="0"/>
        <w:rPr>
          <w:rFonts w:cs="Arial"/>
          <w:b/>
          <w:bCs/>
          <w:szCs w:val="28"/>
          <w:lang w:val="es-ES_tradnl"/>
        </w:rPr>
      </w:pPr>
      <w:r>
        <w:rPr>
          <w:rFonts w:cs="Arial"/>
          <w:b/>
          <w:bCs/>
          <w:szCs w:val="28"/>
          <w:lang w:val="es-ES_tradnl"/>
        </w:rPr>
        <w:lastRenderedPageBreak/>
        <w:tab/>
      </w:r>
    </w:p>
    <w:p w:rsidR="00D017A0" w:rsidRPr="00D71DB1" w:rsidRDefault="00A95045" w:rsidP="00D71DB1">
      <w:pPr>
        <w:pStyle w:val="Ttulo2"/>
        <w:rPr>
          <w:b w:val="0"/>
        </w:rPr>
      </w:pPr>
      <w:r w:rsidRPr="008D4992">
        <w:t>SEGUNDO</w:t>
      </w:r>
      <w:r w:rsidR="00D017A0" w:rsidRPr="008D4992">
        <w:t xml:space="preserve">. </w:t>
      </w:r>
      <w:r w:rsidR="007F7F0C" w:rsidRPr="008D4992">
        <w:t xml:space="preserve">Oportunidad. </w:t>
      </w:r>
      <w:r w:rsidR="00D017A0" w:rsidRPr="00D71DB1">
        <w:rPr>
          <w:b w:val="0"/>
        </w:rPr>
        <w:t>E</w:t>
      </w:r>
      <w:r w:rsidR="00FC696F" w:rsidRPr="00D71DB1">
        <w:rPr>
          <w:b w:val="0"/>
        </w:rPr>
        <w:t>n e</w:t>
      </w:r>
      <w:r w:rsidR="00D017A0" w:rsidRPr="00D71DB1">
        <w:rPr>
          <w:b w:val="0"/>
        </w:rPr>
        <w:t xml:space="preserve">l artículo 60 de la Ley Reglamentaria de las Fracciones I y II del Artículo 105 de la Constitución </w:t>
      </w:r>
      <w:r w:rsidR="00A3219B" w:rsidRPr="00D71DB1">
        <w:rPr>
          <w:b w:val="0"/>
        </w:rPr>
        <w:t>Política de los Estados Unidos Mexicanos</w:t>
      </w:r>
      <w:r w:rsidR="00E906AB" w:rsidRPr="00D71DB1">
        <w:rPr>
          <w:rStyle w:val="Refdenotaalpie"/>
          <w:rFonts w:cs="Arial"/>
          <w:b w:val="0"/>
          <w:szCs w:val="28"/>
        </w:rPr>
        <w:footnoteReference w:id="3"/>
      </w:r>
      <w:r w:rsidR="00EF63F9" w:rsidRPr="00D71DB1">
        <w:rPr>
          <w:b w:val="0"/>
        </w:rPr>
        <w:t xml:space="preserve"> </w:t>
      </w:r>
      <w:r w:rsidR="00D71DB1" w:rsidRPr="00D71DB1">
        <w:rPr>
          <w:b w:val="0"/>
        </w:rPr>
        <w:t>es</w:t>
      </w:r>
      <w:r w:rsidR="00FC696F" w:rsidRPr="00D71DB1">
        <w:rPr>
          <w:b w:val="0"/>
        </w:rPr>
        <w:t xml:space="preserve"> dispu</w:t>
      </w:r>
      <w:r w:rsidR="00D71DB1" w:rsidRPr="00D71DB1">
        <w:rPr>
          <w:b w:val="0"/>
        </w:rPr>
        <w:t>e</w:t>
      </w:r>
      <w:r w:rsidR="00FC696F" w:rsidRPr="00D71DB1">
        <w:rPr>
          <w:b w:val="0"/>
        </w:rPr>
        <w:t>s</w:t>
      </w:r>
      <w:r w:rsidR="00D71DB1" w:rsidRPr="00D71DB1">
        <w:rPr>
          <w:b w:val="0"/>
        </w:rPr>
        <w:t>t</w:t>
      </w:r>
      <w:r w:rsidR="00FC696F" w:rsidRPr="00D71DB1">
        <w:rPr>
          <w:b w:val="0"/>
        </w:rPr>
        <w:t xml:space="preserve">o que </w:t>
      </w:r>
      <w:r w:rsidR="00D017A0" w:rsidRPr="00D71DB1">
        <w:rPr>
          <w:b w:val="0"/>
        </w:rPr>
        <w:t xml:space="preserve">el plazo para la presentación de </w:t>
      </w:r>
      <w:r w:rsidR="00D71DB1" w:rsidRPr="00D71DB1">
        <w:rPr>
          <w:b w:val="0"/>
        </w:rPr>
        <w:t>una</w:t>
      </w:r>
      <w:r w:rsidR="00D017A0" w:rsidRPr="00D71DB1">
        <w:rPr>
          <w:b w:val="0"/>
        </w:rPr>
        <w:t xml:space="preserve"> acción </w:t>
      </w:r>
      <w:r w:rsidR="00D71DB1" w:rsidRPr="00D71DB1">
        <w:rPr>
          <w:b w:val="0"/>
        </w:rPr>
        <w:t>es</w:t>
      </w:r>
      <w:r w:rsidR="00D017A0" w:rsidRPr="00D71DB1">
        <w:rPr>
          <w:b w:val="0"/>
        </w:rPr>
        <w:t xml:space="preserve"> de treinta días naturales y el cómputo respectivo debe hacerse a partir del día siguiente al en que </w:t>
      </w:r>
      <w:r w:rsidR="00D71DB1" w:rsidRPr="00D71DB1">
        <w:rPr>
          <w:b w:val="0"/>
        </w:rPr>
        <w:t>fue publicada</w:t>
      </w:r>
      <w:r w:rsidR="00D017A0" w:rsidRPr="00D71DB1">
        <w:rPr>
          <w:b w:val="0"/>
        </w:rPr>
        <w:t xml:space="preserve"> la </w:t>
      </w:r>
      <w:r w:rsidR="00FC696F" w:rsidRPr="00D71DB1">
        <w:rPr>
          <w:b w:val="0"/>
        </w:rPr>
        <w:t>disposición</w:t>
      </w:r>
      <w:r w:rsidR="00D017A0" w:rsidRPr="00D71DB1">
        <w:rPr>
          <w:b w:val="0"/>
        </w:rPr>
        <w:t xml:space="preserve"> </w:t>
      </w:r>
      <w:r w:rsidR="00FC696F" w:rsidRPr="00D71DB1">
        <w:rPr>
          <w:b w:val="0"/>
        </w:rPr>
        <w:t>impugnada</w:t>
      </w:r>
      <w:r w:rsidR="00D017A0" w:rsidRPr="00D71DB1">
        <w:rPr>
          <w:b w:val="0"/>
        </w:rPr>
        <w:t xml:space="preserve">, </w:t>
      </w:r>
      <w:r w:rsidR="00FC696F" w:rsidRPr="00D71DB1">
        <w:rPr>
          <w:b w:val="0"/>
        </w:rPr>
        <w:t>bajo la regla de que</w:t>
      </w:r>
      <w:r w:rsidR="00D017A0" w:rsidRPr="00D71DB1">
        <w:rPr>
          <w:b w:val="0"/>
        </w:rPr>
        <w:t xml:space="preserve"> en materia electora</w:t>
      </w:r>
      <w:r w:rsidR="00FC696F" w:rsidRPr="00D71DB1">
        <w:rPr>
          <w:b w:val="0"/>
        </w:rPr>
        <w:t>l</w:t>
      </w:r>
      <w:r w:rsidR="00A3219B" w:rsidRPr="00D71DB1">
        <w:rPr>
          <w:b w:val="0"/>
        </w:rPr>
        <w:t xml:space="preserve"> todos los días </w:t>
      </w:r>
      <w:r w:rsidR="00FC696F" w:rsidRPr="00D71DB1">
        <w:rPr>
          <w:b w:val="0"/>
        </w:rPr>
        <w:t>son</w:t>
      </w:r>
      <w:r w:rsidR="00A3219B" w:rsidRPr="00D71DB1">
        <w:rPr>
          <w:b w:val="0"/>
        </w:rPr>
        <w:t xml:space="preserve"> hábiles.</w:t>
      </w:r>
    </w:p>
    <w:p w:rsidR="00D017A0" w:rsidRPr="008D4992" w:rsidRDefault="00D017A0" w:rsidP="00384192">
      <w:pPr>
        <w:pStyle w:val="corte4fondo"/>
        <w:spacing w:line="276" w:lineRule="auto"/>
        <w:rPr>
          <w:rFonts w:cs="Arial"/>
          <w:sz w:val="28"/>
          <w:szCs w:val="28"/>
        </w:rPr>
      </w:pPr>
    </w:p>
    <w:p w:rsidR="000B691C" w:rsidRPr="000B691C" w:rsidRDefault="000B691C" w:rsidP="000B691C">
      <w:pPr>
        <w:autoSpaceDE w:val="0"/>
        <w:autoSpaceDN w:val="0"/>
        <w:adjustRightInd w:val="0"/>
        <w:rPr>
          <w:rFonts w:cs="Arial"/>
          <w:bCs/>
          <w:szCs w:val="28"/>
        </w:rPr>
      </w:pPr>
      <w:r>
        <w:rPr>
          <w:rFonts w:cs="Arial"/>
          <w:bCs/>
          <w:szCs w:val="28"/>
        </w:rPr>
        <w:t>Ahora, para</w:t>
      </w:r>
      <w:r w:rsidRPr="000B691C">
        <w:rPr>
          <w:rFonts w:cs="Arial"/>
          <w:bCs/>
          <w:szCs w:val="28"/>
        </w:rPr>
        <w:t xml:space="preserve"> determinar si la presentación de las demandas </w:t>
      </w:r>
      <w:r>
        <w:rPr>
          <w:rFonts w:cs="Arial"/>
          <w:bCs/>
          <w:szCs w:val="28"/>
        </w:rPr>
        <w:t>es</w:t>
      </w:r>
      <w:r w:rsidRPr="000B691C">
        <w:rPr>
          <w:rFonts w:cs="Arial"/>
          <w:bCs/>
          <w:szCs w:val="28"/>
        </w:rPr>
        <w:t xml:space="preserve"> oportuna, debe tomarse en cuenta que</w:t>
      </w:r>
      <w:r>
        <w:rPr>
          <w:rFonts w:cs="Arial"/>
          <w:bCs/>
          <w:szCs w:val="28"/>
        </w:rPr>
        <w:t xml:space="preserve"> en el</w:t>
      </w:r>
      <w:r w:rsidRPr="000B691C">
        <w:rPr>
          <w:rFonts w:cs="Arial"/>
          <w:bCs/>
          <w:szCs w:val="28"/>
        </w:rPr>
        <w:t xml:space="preserve"> Acuerdo General 3/2020 del Pleno de la Suprema Corte de Justicia de la Nación</w:t>
      </w:r>
      <w:r>
        <w:rPr>
          <w:rFonts w:cs="Arial"/>
          <w:bCs/>
          <w:szCs w:val="28"/>
        </w:rPr>
        <w:t xml:space="preserve"> se determinó que</w:t>
      </w:r>
      <w:r w:rsidRPr="000B691C">
        <w:rPr>
          <w:rFonts w:cs="Arial"/>
          <w:bCs/>
          <w:szCs w:val="28"/>
        </w:rPr>
        <w:t xml:space="preserve"> debido al brote de neumonía denominado como la enfermedad por coronavirus COVID-19, debían tomarse medidas necesarias para proteger la salud de las personas, por lo que se suspendieron sus actividades jurisdiccionales al considerarse que se actualizaba una causa de fuerza mayor, y, por ende, se tomó la determinación de suspender actividades y declarar inhábiles los días del periodo comprendido del dieciocho de marzo al diecinueve de abril de dos mil veinte</w:t>
      </w:r>
      <w:r>
        <w:rPr>
          <w:rFonts w:cs="Arial"/>
          <w:bCs/>
          <w:szCs w:val="28"/>
        </w:rPr>
        <w:t>,</w:t>
      </w:r>
      <w:r w:rsidRPr="000B691C">
        <w:rPr>
          <w:rFonts w:cs="Arial"/>
          <w:bCs/>
          <w:szCs w:val="28"/>
        </w:rPr>
        <w:t xml:space="preserve"> sin que </w:t>
      </w:r>
      <w:r>
        <w:rPr>
          <w:rFonts w:cs="Arial"/>
          <w:bCs/>
          <w:szCs w:val="28"/>
        </w:rPr>
        <w:t>trascurrieran</w:t>
      </w:r>
      <w:r w:rsidRPr="000B691C">
        <w:rPr>
          <w:rFonts w:cs="Arial"/>
          <w:bCs/>
          <w:szCs w:val="28"/>
        </w:rPr>
        <w:t xml:space="preserve"> términos.</w:t>
      </w:r>
    </w:p>
    <w:p w:rsidR="000B691C" w:rsidRPr="000B691C" w:rsidRDefault="000B691C" w:rsidP="000B691C">
      <w:pPr>
        <w:autoSpaceDE w:val="0"/>
        <w:autoSpaceDN w:val="0"/>
        <w:adjustRightInd w:val="0"/>
        <w:rPr>
          <w:rFonts w:cs="Arial"/>
          <w:bCs/>
          <w:szCs w:val="28"/>
        </w:rPr>
      </w:pPr>
    </w:p>
    <w:p w:rsidR="000B691C" w:rsidRPr="000B691C" w:rsidRDefault="000B691C" w:rsidP="000B691C">
      <w:pPr>
        <w:autoSpaceDE w:val="0"/>
        <w:autoSpaceDN w:val="0"/>
        <w:adjustRightInd w:val="0"/>
        <w:rPr>
          <w:rFonts w:cs="Arial"/>
          <w:bCs/>
          <w:szCs w:val="28"/>
        </w:rPr>
      </w:pPr>
      <w:r w:rsidRPr="000B691C">
        <w:rPr>
          <w:rFonts w:cs="Arial"/>
          <w:bCs/>
          <w:szCs w:val="28"/>
        </w:rPr>
        <w:t xml:space="preserve">Dicho periodo fue prorrogado </w:t>
      </w:r>
      <w:r>
        <w:rPr>
          <w:rFonts w:cs="Arial"/>
          <w:bCs/>
          <w:szCs w:val="28"/>
        </w:rPr>
        <w:t>mediante los acuerdos</w:t>
      </w:r>
      <w:r w:rsidRPr="000B691C">
        <w:rPr>
          <w:rFonts w:cs="Arial"/>
          <w:bCs/>
          <w:szCs w:val="28"/>
        </w:rPr>
        <w:t xml:space="preserve"> </w:t>
      </w:r>
      <w:r>
        <w:rPr>
          <w:rFonts w:cs="Arial"/>
          <w:bCs/>
          <w:szCs w:val="28"/>
        </w:rPr>
        <w:t>g</w:t>
      </w:r>
      <w:r w:rsidRPr="000B691C">
        <w:rPr>
          <w:rFonts w:cs="Arial"/>
          <w:bCs/>
          <w:szCs w:val="28"/>
        </w:rPr>
        <w:t>enerales 6/2020, 7/2020, 10/2020, 12/2020, 13/2020 y 14/2020 hasta el tres de a</w:t>
      </w:r>
      <w:r>
        <w:rPr>
          <w:rFonts w:cs="Arial"/>
          <w:bCs/>
          <w:szCs w:val="28"/>
        </w:rPr>
        <w:t>gosto de dos mil veinte, ya que</w:t>
      </w:r>
      <w:r w:rsidRPr="000B691C">
        <w:rPr>
          <w:rFonts w:cs="Arial"/>
          <w:bCs/>
          <w:szCs w:val="28"/>
        </w:rPr>
        <w:t xml:space="preserve"> conforme al punto </w:t>
      </w:r>
      <w:r>
        <w:rPr>
          <w:rFonts w:cs="Arial"/>
          <w:bCs/>
          <w:szCs w:val="28"/>
        </w:rPr>
        <w:t>segundo del acuerdo g</w:t>
      </w:r>
      <w:r w:rsidRPr="000B691C">
        <w:rPr>
          <w:rFonts w:cs="Arial"/>
          <w:bCs/>
          <w:szCs w:val="28"/>
        </w:rPr>
        <w:t xml:space="preserve">eneral 14/2020, a partir de esa fecha </w:t>
      </w:r>
      <w:r>
        <w:rPr>
          <w:rFonts w:cs="Arial"/>
          <w:bCs/>
          <w:szCs w:val="28"/>
        </w:rPr>
        <w:t>fue levantada</w:t>
      </w:r>
      <w:r w:rsidRPr="000B691C">
        <w:rPr>
          <w:rFonts w:cs="Arial"/>
          <w:bCs/>
          <w:szCs w:val="28"/>
        </w:rPr>
        <w:t xml:space="preserve"> la suspensión de plazos de los asuntos de competencia de </w:t>
      </w:r>
      <w:r>
        <w:rPr>
          <w:rFonts w:cs="Arial"/>
          <w:bCs/>
          <w:szCs w:val="28"/>
        </w:rPr>
        <w:t>esta Suprema Corte de Justicia de la Nación</w:t>
      </w:r>
      <w:r w:rsidRPr="000B691C">
        <w:rPr>
          <w:rFonts w:cs="Arial"/>
          <w:bCs/>
          <w:szCs w:val="28"/>
        </w:rPr>
        <w:t>.</w:t>
      </w:r>
    </w:p>
    <w:p w:rsidR="000B691C" w:rsidRPr="000B691C" w:rsidRDefault="000B691C" w:rsidP="000B691C">
      <w:pPr>
        <w:autoSpaceDE w:val="0"/>
        <w:autoSpaceDN w:val="0"/>
        <w:adjustRightInd w:val="0"/>
        <w:rPr>
          <w:rFonts w:cs="Arial"/>
          <w:bCs/>
          <w:szCs w:val="28"/>
        </w:rPr>
      </w:pPr>
    </w:p>
    <w:p w:rsidR="000B691C" w:rsidRPr="000B691C" w:rsidRDefault="000B691C" w:rsidP="000B691C">
      <w:pPr>
        <w:autoSpaceDE w:val="0"/>
        <w:autoSpaceDN w:val="0"/>
        <w:adjustRightInd w:val="0"/>
        <w:rPr>
          <w:rFonts w:cs="Arial"/>
          <w:bCs/>
          <w:szCs w:val="28"/>
        </w:rPr>
      </w:pPr>
      <w:r>
        <w:rPr>
          <w:rFonts w:cs="Arial"/>
          <w:bCs/>
          <w:szCs w:val="28"/>
        </w:rPr>
        <w:t xml:space="preserve">No pasa </w:t>
      </w:r>
      <w:r w:rsidR="008372B0">
        <w:rPr>
          <w:rFonts w:cs="Arial"/>
          <w:bCs/>
          <w:szCs w:val="28"/>
        </w:rPr>
        <w:t>inadvertido</w:t>
      </w:r>
      <w:r>
        <w:rPr>
          <w:rFonts w:cs="Arial"/>
          <w:bCs/>
          <w:szCs w:val="28"/>
        </w:rPr>
        <w:t xml:space="preserve"> que conforme al acuerdo g</w:t>
      </w:r>
      <w:r w:rsidRPr="000B691C">
        <w:rPr>
          <w:rFonts w:cs="Arial"/>
          <w:bCs/>
          <w:szCs w:val="28"/>
        </w:rPr>
        <w:t xml:space="preserve">eneral 10/2020 </w:t>
      </w:r>
      <w:r>
        <w:rPr>
          <w:rFonts w:cs="Arial"/>
          <w:bCs/>
          <w:szCs w:val="28"/>
        </w:rPr>
        <w:t xml:space="preserve">emitido por este Tribunal Pleno </w:t>
      </w:r>
      <w:r w:rsidRPr="000B691C">
        <w:rPr>
          <w:rFonts w:cs="Arial"/>
          <w:bCs/>
          <w:szCs w:val="28"/>
        </w:rPr>
        <w:t xml:space="preserve">el veintiséis de mayo de dos mil veinte, </w:t>
      </w:r>
      <w:r>
        <w:rPr>
          <w:rFonts w:cs="Arial"/>
          <w:bCs/>
          <w:szCs w:val="28"/>
        </w:rPr>
        <w:t xml:space="preserve">fueron habilitados los días y horas </w:t>
      </w:r>
      <w:r w:rsidRPr="000B691C">
        <w:rPr>
          <w:rFonts w:cs="Arial"/>
          <w:bCs/>
          <w:szCs w:val="28"/>
        </w:rPr>
        <w:t>necesarios con el objeto de que</w:t>
      </w:r>
      <w:r>
        <w:rPr>
          <w:rFonts w:cs="Arial"/>
          <w:bCs/>
          <w:szCs w:val="28"/>
        </w:rPr>
        <w:t xml:space="preserve"> fueran promovidos únicamente por vía electrónica</w:t>
      </w:r>
      <w:r w:rsidRPr="000B691C">
        <w:rPr>
          <w:rFonts w:cs="Arial"/>
          <w:bCs/>
          <w:szCs w:val="28"/>
        </w:rPr>
        <w:t xml:space="preserve"> los escritos </w:t>
      </w:r>
      <w:r w:rsidRPr="000B691C">
        <w:rPr>
          <w:rFonts w:cs="Arial"/>
          <w:bCs/>
          <w:szCs w:val="28"/>
        </w:rPr>
        <w:lastRenderedPageBreak/>
        <w:t xml:space="preserve">iniciales de todos los asuntos de la competencia de la Suprema </w:t>
      </w:r>
      <w:r>
        <w:rPr>
          <w:rFonts w:cs="Arial"/>
          <w:bCs/>
          <w:szCs w:val="28"/>
        </w:rPr>
        <w:t xml:space="preserve">Corte de Justicia de la Nación </w:t>
      </w:r>
      <w:r w:rsidRPr="000B691C">
        <w:rPr>
          <w:rFonts w:cs="Arial"/>
          <w:bCs/>
          <w:szCs w:val="28"/>
        </w:rPr>
        <w:t xml:space="preserve">mediante el </w:t>
      </w:r>
      <w:r>
        <w:rPr>
          <w:rFonts w:cs="Arial"/>
          <w:bCs/>
          <w:szCs w:val="28"/>
        </w:rPr>
        <w:t xml:space="preserve">uso de la FIREL o de la </w:t>
      </w:r>
      <w:proofErr w:type="spellStart"/>
      <w:r>
        <w:rPr>
          <w:rFonts w:cs="Arial"/>
          <w:bCs/>
          <w:szCs w:val="28"/>
        </w:rPr>
        <w:t>e.firma</w:t>
      </w:r>
      <w:proofErr w:type="spellEnd"/>
      <w:r>
        <w:rPr>
          <w:rFonts w:cs="Arial"/>
          <w:bCs/>
          <w:szCs w:val="28"/>
        </w:rPr>
        <w:t>.</w:t>
      </w:r>
    </w:p>
    <w:p w:rsidR="000B691C" w:rsidRPr="000B691C" w:rsidRDefault="000B691C" w:rsidP="000B691C">
      <w:pPr>
        <w:autoSpaceDE w:val="0"/>
        <w:autoSpaceDN w:val="0"/>
        <w:adjustRightInd w:val="0"/>
        <w:rPr>
          <w:rFonts w:cs="Arial"/>
          <w:bCs/>
          <w:szCs w:val="28"/>
        </w:rPr>
      </w:pPr>
    </w:p>
    <w:p w:rsidR="000B691C" w:rsidRPr="000B691C" w:rsidRDefault="0006034D" w:rsidP="000B691C">
      <w:pPr>
        <w:autoSpaceDE w:val="0"/>
        <w:autoSpaceDN w:val="0"/>
        <w:adjustRightInd w:val="0"/>
        <w:rPr>
          <w:rFonts w:cs="Arial"/>
          <w:bCs/>
          <w:szCs w:val="28"/>
        </w:rPr>
      </w:pPr>
      <w:r>
        <w:rPr>
          <w:rFonts w:cs="Arial"/>
          <w:bCs/>
          <w:szCs w:val="28"/>
        </w:rPr>
        <w:t>Sin embargo, esa determinación</w:t>
      </w:r>
      <w:r w:rsidR="000B691C" w:rsidRPr="000B691C">
        <w:rPr>
          <w:rFonts w:cs="Arial"/>
          <w:bCs/>
          <w:szCs w:val="28"/>
        </w:rPr>
        <w:t xml:space="preserve"> no implicó el levantamiento de la suspensión de términos, p</w:t>
      </w:r>
      <w:r>
        <w:rPr>
          <w:rFonts w:cs="Arial"/>
          <w:bCs/>
          <w:szCs w:val="28"/>
        </w:rPr>
        <w:t>ues de conformidad con el acuerdo g</w:t>
      </w:r>
      <w:r w:rsidR="000B691C" w:rsidRPr="000B691C">
        <w:rPr>
          <w:rFonts w:cs="Arial"/>
          <w:bCs/>
          <w:szCs w:val="28"/>
        </w:rPr>
        <w:t>eneral 14/2020 ello sucedió hasta el tres de agosto de este año.</w:t>
      </w:r>
    </w:p>
    <w:p w:rsidR="000B691C" w:rsidRPr="000B691C" w:rsidRDefault="000B691C" w:rsidP="000B691C">
      <w:pPr>
        <w:autoSpaceDE w:val="0"/>
        <w:autoSpaceDN w:val="0"/>
        <w:adjustRightInd w:val="0"/>
        <w:rPr>
          <w:rFonts w:cs="Arial"/>
          <w:bCs/>
          <w:szCs w:val="28"/>
        </w:rPr>
      </w:pPr>
    </w:p>
    <w:p w:rsidR="00DF51F7" w:rsidRDefault="000B691C" w:rsidP="0006034D">
      <w:pPr>
        <w:autoSpaceDE w:val="0"/>
        <w:autoSpaceDN w:val="0"/>
        <w:adjustRightInd w:val="0"/>
        <w:rPr>
          <w:rFonts w:cs="Arial"/>
          <w:bCs/>
          <w:szCs w:val="28"/>
        </w:rPr>
      </w:pPr>
      <w:r w:rsidRPr="000B691C">
        <w:rPr>
          <w:rFonts w:cs="Arial"/>
          <w:bCs/>
          <w:szCs w:val="28"/>
        </w:rPr>
        <w:t>En tales condiciones, si la suspensión de los términos inicio el dieci</w:t>
      </w:r>
      <w:r w:rsidR="0006034D">
        <w:rPr>
          <w:rFonts w:cs="Arial"/>
          <w:bCs/>
          <w:szCs w:val="28"/>
        </w:rPr>
        <w:t>ocho de marzo de dos mil veinte, el d</w:t>
      </w:r>
      <w:r w:rsidRPr="000B691C">
        <w:rPr>
          <w:rFonts w:cs="Arial"/>
          <w:bCs/>
          <w:szCs w:val="28"/>
        </w:rPr>
        <w:t xml:space="preserve">ecreto 454 </w:t>
      </w:r>
      <w:r w:rsidR="0006034D">
        <w:rPr>
          <w:rFonts w:cs="Arial"/>
          <w:bCs/>
          <w:szCs w:val="28"/>
        </w:rPr>
        <w:t>fue publicado</w:t>
      </w:r>
      <w:r w:rsidRPr="000B691C">
        <w:rPr>
          <w:rFonts w:cs="Arial"/>
          <w:bCs/>
          <w:szCs w:val="28"/>
        </w:rPr>
        <w:t xml:space="preserve"> en el Periódico Oficial del Estado de Sinaloa el cinco de julio de dos mil veinte y las demandas de acción de inconstitucionalidad registradas </w:t>
      </w:r>
      <w:r w:rsidR="0006034D">
        <w:rPr>
          <w:rFonts w:cs="Arial"/>
          <w:bCs/>
          <w:szCs w:val="28"/>
        </w:rPr>
        <w:t>bajo los expedientes</w:t>
      </w:r>
      <w:r w:rsidRPr="000B691C">
        <w:rPr>
          <w:rFonts w:cs="Arial"/>
          <w:bCs/>
          <w:szCs w:val="28"/>
        </w:rPr>
        <w:t xml:space="preserve"> 135/2020 y 138/2020 se presentaron de manera electr</w:t>
      </w:r>
      <w:r w:rsidR="0006034D">
        <w:rPr>
          <w:rFonts w:cs="Arial"/>
          <w:bCs/>
          <w:szCs w:val="28"/>
        </w:rPr>
        <w:t>ónica los días treinta de junio y seis de jul</w:t>
      </w:r>
      <w:r w:rsidRPr="000B691C">
        <w:rPr>
          <w:rFonts w:cs="Arial"/>
          <w:bCs/>
          <w:szCs w:val="28"/>
        </w:rPr>
        <w:t>io respectivamente</w:t>
      </w:r>
      <w:r w:rsidR="0006034D">
        <w:rPr>
          <w:rFonts w:cs="Arial"/>
          <w:bCs/>
          <w:szCs w:val="28"/>
        </w:rPr>
        <w:t xml:space="preserve">, </w:t>
      </w:r>
      <w:r w:rsidRPr="000B691C">
        <w:rPr>
          <w:rFonts w:cs="Arial"/>
          <w:bCs/>
          <w:szCs w:val="28"/>
        </w:rPr>
        <w:t>la suspensión de términos se levantó el lunes tres de agosto de este año, entonces</w:t>
      </w:r>
      <w:r w:rsidR="0006034D">
        <w:rPr>
          <w:rFonts w:cs="Arial"/>
          <w:bCs/>
          <w:szCs w:val="28"/>
        </w:rPr>
        <w:t xml:space="preserve"> las acciones</w:t>
      </w:r>
      <w:r w:rsidRPr="000B691C">
        <w:rPr>
          <w:rFonts w:cs="Arial"/>
          <w:bCs/>
          <w:szCs w:val="28"/>
        </w:rPr>
        <w:t xml:space="preserve"> fueron presentadas oportunamente, ya que el plazo de treinta días </w:t>
      </w:r>
      <w:r w:rsidR="0006034D">
        <w:rPr>
          <w:rFonts w:cs="Arial"/>
          <w:bCs/>
          <w:szCs w:val="28"/>
        </w:rPr>
        <w:t>transcurrió</w:t>
      </w:r>
      <w:r w:rsidRPr="000B691C">
        <w:rPr>
          <w:rFonts w:cs="Arial"/>
          <w:bCs/>
          <w:szCs w:val="28"/>
        </w:rPr>
        <w:t xml:space="preserve"> del tres de agosto al </w:t>
      </w:r>
      <w:r w:rsidR="0006034D">
        <w:rPr>
          <w:rFonts w:cs="Arial"/>
          <w:bCs/>
          <w:szCs w:val="28"/>
        </w:rPr>
        <w:t>uno</w:t>
      </w:r>
      <w:r w:rsidRPr="000B691C">
        <w:rPr>
          <w:rFonts w:cs="Arial"/>
          <w:bCs/>
          <w:szCs w:val="28"/>
        </w:rPr>
        <w:t xml:space="preserve"> de septiembre de dos mil veinte y las demandas fueron presentadas antes de que </w:t>
      </w:r>
      <w:r w:rsidR="0006034D">
        <w:rPr>
          <w:rFonts w:cs="Arial"/>
          <w:bCs/>
          <w:szCs w:val="28"/>
        </w:rPr>
        <w:t>iniciara</w:t>
      </w:r>
      <w:r w:rsidRPr="000B691C">
        <w:rPr>
          <w:rFonts w:cs="Arial"/>
          <w:bCs/>
          <w:szCs w:val="28"/>
        </w:rPr>
        <w:t xml:space="preserve"> dicho plazo.</w:t>
      </w:r>
    </w:p>
    <w:p w:rsidR="0006034D" w:rsidRPr="008D4992" w:rsidRDefault="0006034D" w:rsidP="0006034D">
      <w:pPr>
        <w:autoSpaceDE w:val="0"/>
        <w:autoSpaceDN w:val="0"/>
        <w:adjustRightInd w:val="0"/>
        <w:rPr>
          <w:rFonts w:cs="Arial"/>
          <w:szCs w:val="28"/>
        </w:rPr>
      </w:pPr>
    </w:p>
    <w:p w:rsidR="00D017A0" w:rsidRPr="002373DF" w:rsidRDefault="00A95045" w:rsidP="0006034D">
      <w:pPr>
        <w:pStyle w:val="Ttulo2"/>
        <w:keepNext w:val="0"/>
        <w:keepLines w:val="0"/>
        <w:rPr>
          <w:b w:val="0"/>
        </w:rPr>
      </w:pPr>
      <w:r w:rsidRPr="008D4992">
        <w:rPr>
          <w:lang w:val="es-ES_tradnl"/>
        </w:rPr>
        <w:t>TERCERO</w:t>
      </w:r>
      <w:r w:rsidR="00077BDF" w:rsidRPr="008D4992">
        <w:rPr>
          <w:lang w:val="es-ES_tradnl"/>
        </w:rPr>
        <w:t>. Legitimación</w:t>
      </w:r>
      <w:r w:rsidR="00D017A0" w:rsidRPr="008D4992">
        <w:rPr>
          <w:lang w:val="es-ES_tradnl"/>
        </w:rPr>
        <w:t xml:space="preserve">. </w:t>
      </w:r>
      <w:r w:rsidR="00DE1E1D" w:rsidRPr="002373DF">
        <w:rPr>
          <w:b w:val="0"/>
        </w:rPr>
        <w:t>En los artículos</w:t>
      </w:r>
      <w:r w:rsidR="003A414F" w:rsidRPr="002373DF">
        <w:rPr>
          <w:b w:val="0"/>
        </w:rPr>
        <w:t xml:space="preserve"> 105, fracción II, inciso f), de la Constitución </w:t>
      </w:r>
      <w:r w:rsidR="000F1BCE" w:rsidRPr="002373DF">
        <w:rPr>
          <w:b w:val="0"/>
        </w:rPr>
        <w:t>General</w:t>
      </w:r>
      <w:r w:rsidR="003A414F" w:rsidRPr="002373DF">
        <w:rPr>
          <w:rStyle w:val="Refdenotaalpie"/>
          <w:rFonts w:cs="Arial"/>
          <w:b w:val="0"/>
          <w:szCs w:val="28"/>
        </w:rPr>
        <w:footnoteReference w:id="4"/>
      </w:r>
      <w:r w:rsidR="003A414F" w:rsidRPr="002373DF">
        <w:rPr>
          <w:b w:val="0"/>
        </w:rPr>
        <w:t xml:space="preserve"> y </w:t>
      </w:r>
      <w:r w:rsidR="00DE1E1D" w:rsidRPr="002373DF">
        <w:rPr>
          <w:b w:val="0"/>
        </w:rPr>
        <w:t xml:space="preserve">62, </w:t>
      </w:r>
      <w:r w:rsidR="000F1BCE" w:rsidRPr="002373DF">
        <w:rPr>
          <w:b w:val="0"/>
        </w:rPr>
        <w:t xml:space="preserve">último </w:t>
      </w:r>
      <w:r w:rsidR="00DE1E1D" w:rsidRPr="002373DF">
        <w:rPr>
          <w:b w:val="0"/>
        </w:rPr>
        <w:t>párrafo, de su ley r</w:t>
      </w:r>
      <w:r w:rsidR="003A414F" w:rsidRPr="002373DF">
        <w:rPr>
          <w:b w:val="0"/>
        </w:rPr>
        <w:t>eglamentaria</w:t>
      </w:r>
      <w:r w:rsidR="003A414F" w:rsidRPr="002373DF">
        <w:rPr>
          <w:rStyle w:val="Refdenotaalpie"/>
          <w:rFonts w:cs="Arial"/>
          <w:b w:val="0"/>
          <w:szCs w:val="28"/>
        </w:rPr>
        <w:footnoteReference w:id="5"/>
      </w:r>
      <w:r w:rsidR="003A414F" w:rsidRPr="002373DF">
        <w:rPr>
          <w:b w:val="0"/>
        </w:rPr>
        <w:t xml:space="preserve"> </w:t>
      </w:r>
      <w:r w:rsidR="000F1BCE" w:rsidRPr="002373DF">
        <w:rPr>
          <w:b w:val="0"/>
        </w:rPr>
        <w:t>son establecidos</w:t>
      </w:r>
      <w:r w:rsidR="00DE1E1D" w:rsidRPr="002373DF">
        <w:rPr>
          <w:b w:val="0"/>
        </w:rPr>
        <w:t xml:space="preserve"> como requisitos para</w:t>
      </w:r>
      <w:r w:rsidR="003A414F" w:rsidRPr="002373DF">
        <w:rPr>
          <w:b w:val="0"/>
        </w:rPr>
        <w:t xml:space="preserve"> que los partidos políticos </w:t>
      </w:r>
      <w:r w:rsidR="00DE1E1D" w:rsidRPr="002373DF">
        <w:rPr>
          <w:b w:val="0"/>
        </w:rPr>
        <w:t>promuevan</w:t>
      </w:r>
      <w:r w:rsidR="003A414F" w:rsidRPr="002373DF">
        <w:rPr>
          <w:b w:val="0"/>
        </w:rPr>
        <w:t xml:space="preserve"> acciones de inconstitucionalidad </w:t>
      </w:r>
      <w:r w:rsidR="00DE1E1D" w:rsidRPr="002373DF">
        <w:rPr>
          <w:b w:val="0"/>
        </w:rPr>
        <w:t>que cuenten</w:t>
      </w:r>
      <w:r w:rsidR="003A414F" w:rsidRPr="002373DF">
        <w:rPr>
          <w:b w:val="0"/>
        </w:rPr>
        <w:t xml:space="preserve"> con registro ante la autoridad electoral correspondiente, </w:t>
      </w:r>
      <w:r w:rsidR="002373DF" w:rsidRPr="002373DF">
        <w:rPr>
          <w:b w:val="0"/>
        </w:rPr>
        <w:t xml:space="preserve">que </w:t>
      </w:r>
      <w:r w:rsidR="00DE1E1D" w:rsidRPr="002373DF">
        <w:rPr>
          <w:b w:val="0"/>
        </w:rPr>
        <w:t>el escrito lo presenten</w:t>
      </w:r>
      <w:r w:rsidR="003A414F" w:rsidRPr="002373DF">
        <w:rPr>
          <w:b w:val="0"/>
        </w:rPr>
        <w:t xml:space="preserve"> por conducto de su dirigencia nacional o l</w:t>
      </w:r>
      <w:r w:rsidR="002373DF" w:rsidRPr="002373DF">
        <w:rPr>
          <w:b w:val="0"/>
        </w:rPr>
        <w:t>ocal</w:t>
      </w:r>
      <w:r w:rsidR="003A414F" w:rsidRPr="002373DF">
        <w:rPr>
          <w:b w:val="0"/>
        </w:rPr>
        <w:t xml:space="preserve"> según </w:t>
      </w:r>
      <w:r w:rsidR="002373DF" w:rsidRPr="002373DF">
        <w:rPr>
          <w:b w:val="0"/>
        </w:rPr>
        <w:lastRenderedPageBreak/>
        <w:t>corresponda</w:t>
      </w:r>
      <w:r w:rsidR="003A414F" w:rsidRPr="002373DF">
        <w:rPr>
          <w:b w:val="0"/>
        </w:rPr>
        <w:t xml:space="preserve"> y que quien suscriba en su representac</w:t>
      </w:r>
      <w:r w:rsidR="00AA6B05" w:rsidRPr="002373DF">
        <w:rPr>
          <w:b w:val="0"/>
        </w:rPr>
        <w:t>ión tenga facultades para ello.</w:t>
      </w:r>
    </w:p>
    <w:p w:rsidR="00D017A0" w:rsidRPr="008D4992" w:rsidRDefault="00DE1E1D" w:rsidP="0006034D">
      <w:pPr>
        <w:pStyle w:val="corte4fondo"/>
        <w:spacing w:line="276" w:lineRule="auto"/>
        <w:ind w:firstLine="0"/>
        <w:rPr>
          <w:rFonts w:cs="Arial"/>
          <w:sz w:val="28"/>
          <w:szCs w:val="28"/>
        </w:rPr>
      </w:pPr>
      <w:r w:rsidRPr="008D4992">
        <w:rPr>
          <w:rFonts w:cs="Arial"/>
          <w:sz w:val="28"/>
          <w:szCs w:val="28"/>
        </w:rPr>
        <w:tab/>
      </w:r>
    </w:p>
    <w:p w:rsidR="00E41AC4" w:rsidRPr="00E824D6" w:rsidRDefault="00D017A0" w:rsidP="002373DF">
      <w:pPr>
        <w:autoSpaceDE w:val="0"/>
        <w:autoSpaceDN w:val="0"/>
        <w:adjustRightInd w:val="0"/>
        <w:rPr>
          <w:rFonts w:cs="Arial"/>
          <w:szCs w:val="28"/>
        </w:rPr>
      </w:pPr>
      <w:r w:rsidRPr="00E824D6">
        <w:rPr>
          <w:rFonts w:cs="Arial"/>
          <w:szCs w:val="28"/>
          <w:lang w:val="es-ES_tradnl"/>
        </w:rPr>
        <w:t xml:space="preserve">En </w:t>
      </w:r>
      <w:r w:rsidR="00810923">
        <w:rPr>
          <w:rFonts w:cs="Arial"/>
          <w:szCs w:val="28"/>
          <w:lang w:val="es-ES_tradnl"/>
        </w:rPr>
        <w:t>este caso</w:t>
      </w:r>
      <w:r w:rsidRPr="00E824D6">
        <w:rPr>
          <w:rFonts w:cs="Arial"/>
          <w:szCs w:val="28"/>
          <w:lang w:val="es-ES_tradnl"/>
        </w:rPr>
        <w:t xml:space="preserve"> </w:t>
      </w:r>
      <w:r w:rsidR="002373DF" w:rsidRPr="00E824D6">
        <w:rPr>
          <w:rFonts w:cs="Arial"/>
          <w:szCs w:val="28"/>
          <w:lang w:val="es-ES_tradnl"/>
        </w:rPr>
        <w:t>son cumplidos los</w:t>
      </w:r>
      <w:r w:rsidRPr="00E824D6">
        <w:rPr>
          <w:rFonts w:cs="Arial"/>
          <w:szCs w:val="28"/>
          <w:lang w:val="es-ES_tradnl"/>
        </w:rPr>
        <w:t xml:space="preserve"> requisitos </w:t>
      </w:r>
      <w:r w:rsidR="00DE1E1D" w:rsidRPr="00E824D6">
        <w:rPr>
          <w:rFonts w:cs="Arial"/>
          <w:szCs w:val="28"/>
          <w:lang w:val="es-ES_tradnl"/>
        </w:rPr>
        <w:t>referidos</w:t>
      </w:r>
      <w:r w:rsidR="002373DF" w:rsidRPr="00E824D6">
        <w:rPr>
          <w:rFonts w:cs="Arial"/>
          <w:szCs w:val="28"/>
          <w:lang w:val="es-ES_tradnl"/>
        </w:rPr>
        <w:t xml:space="preserve"> debido a que e</w:t>
      </w:r>
      <w:r w:rsidR="001D480F" w:rsidRPr="00E824D6">
        <w:rPr>
          <w:rFonts w:cs="Arial"/>
          <w:szCs w:val="28"/>
        </w:rPr>
        <w:t>l P</w:t>
      </w:r>
      <w:r w:rsidR="004C061F" w:rsidRPr="00E824D6">
        <w:rPr>
          <w:rFonts w:cs="Arial"/>
          <w:szCs w:val="28"/>
        </w:rPr>
        <w:t xml:space="preserve">artido </w:t>
      </w:r>
      <w:r w:rsidR="002733DF" w:rsidRPr="00E824D6">
        <w:rPr>
          <w:rFonts w:cs="Arial"/>
          <w:szCs w:val="28"/>
        </w:rPr>
        <w:t xml:space="preserve">Sinaloense </w:t>
      </w:r>
      <w:r w:rsidRPr="00E824D6">
        <w:rPr>
          <w:rFonts w:cs="Arial"/>
          <w:szCs w:val="28"/>
        </w:rPr>
        <w:t xml:space="preserve">es </w:t>
      </w:r>
      <w:r w:rsidR="00DA4A4D" w:rsidRPr="00E824D6">
        <w:rPr>
          <w:rFonts w:cs="Arial"/>
          <w:szCs w:val="28"/>
        </w:rPr>
        <w:t>un partido político</w:t>
      </w:r>
      <w:r w:rsidR="004C061F" w:rsidRPr="00E824D6">
        <w:rPr>
          <w:rFonts w:cs="Arial"/>
          <w:szCs w:val="28"/>
        </w:rPr>
        <w:t xml:space="preserve"> </w:t>
      </w:r>
      <w:r w:rsidR="002733DF" w:rsidRPr="00E824D6">
        <w:rPr>
          <w:rFonts w:cs="Arial"/>
          <w:szCs w:val="28"/>
        </w:rPr>
        <w:t>estatal</w:t>
      </w:r>
      <w:r w:rsidRPr="00E824D6">
        <w:rPr>
          <w:rFonts w:cs="Arial"/>
          <w:szCs w:val="28"/>
        </w:rPr>
        <w:t xml:space="preserve"> con reg</w:t>
      </w:r>
      <w:r w:rsidR="00D73DE5" w:rsidRPr="00E824D6">
        <w:rPr>
          <w:rFonts w:cs="Arial"/>
          <w:szCs w:val="28"/>
        </w:rPr>
        <w:t xml:space="preserve">istro ante el Instituto Electoral de </w:t>
      </w:r>
      <w:r w:rsidR="002733DF" w:rsidRPr="00E824D6">
        <w:rPr>
          <w:rFonts w:cs="Arial"/>
          <w:szCs w:val="28"/>
        </w:rPr>
        <w:t>Sinaloa</w:t>
      </w:r>
      <w:r w:rsidRPr="00E824D6">
        <w:rPr>
          <w:rFonts w:cs="Arial"/>
          <w:szCs w:val="28"/>
        </w:rPr>
        <w:t xml:space="preserve"> según certificación expedida por el Secretario Ejecutivo de dicho Instituto</w:t>
      </w:r>
      <w:r w:rsidR="005056FE" w:rsidRPr="00E824D6">
        <w:rPr>
          <w:rFonts w:cs="Arial"/>
          <w:szCs w:val="28"/>
        </w:rPr>
        <w:t xml:space="preserve"> y</w:t>
      </w:r>
      <w:r w:rsidRPr="00E824D6">
        <w:rPr>
          <w:rFonts w:cs="Arial"/>
          <w:szCs w:val="28"/>
        </w:rPr>
        <w:t xml:space="preserve"> de las</w:t>
      </w:r>
      <w:r w:rsidR="00DE1E1D" w:rsidRPr="00E824D6">
        <w:rPr>
          <w:rFonts w:cs="Arial"/>
          <w:szCs w:val="28"/>
        </w:rPr>
        <w:t xml:space="preserve"> constancias en autos</w:t>
      </w:r>
      <w:r w:rsidRPr="00E824D6">
        <w:rPr>
          <w:rFonts w:cs="Arial"/>
          <w:szCs w:val="28"/>
        </w:rPr>
        <w:t xml:space="preserve"> se advierte que </w:t>
      </w:r>
      <w:r w:rsidR="0000271C" w:rsidRPr="00E824D6">
        <w:rPr>
          <w:rFonts w:cs="Arial"/>
          <w:szCs w:val="28"/>
          <w:lang w:val="es-ES_tradnl"/>
        </w:rPr>
        <w:t xml:space="preserve">Héctor Melesio Cuén Ojeda, Noé Quevedo Salazar y Jorge </w:t>
      </w:r>
      <w:proofErr w:type="spellStart"/>
      <w:r w:rsidR="0000271C" w:rsidRPr="00E824D6">
        <w:rPr>
          <w:rFonts w:cs="Arial"/>
          <w:szCs w:val="28"/>
          <w:lang w:val="es-ES_tradnl"/>
        </w:rPr>
        <w:t>Amid</w:t>
      </w:r>
      <w:proofErr w:type="spellEnd"/>
      <w:r w:rsidR="0000271C" w:rsidRPr="00E824D6">
        <w:rPr>
          <w:rFonts w:cs="Arial"/>
          <w:szCs w:val="28"/>
          <w:lang w:val="es-ES_tradnl"/>
        </w:rPr>
        <w:t xml:space="preserve"> Castellanos Navarro</w:t>
      </w:r>
      <w:r w:rsidR="0000271C" w:rsidRPr="00E824D6">
        <w:rPr>
          <w:rFonts w:cs="Arial"/>
          <w:szCs w:val="28"/>
        </w:rPr>
        <w:t xml:space="preserve"> ―</w:t>
      </w:r>
      <w:r w:rsidR="00B868F0" w:rsidRPr="00E824D6">
        <w:rPr>
          <w:rFonts w:cs="Arial"/>
          <w:szCs w:val="28"/>
        </w:rPr>
        <w:t>quien</w:t>
      </w:r>
      <w:r w:rsidR="00E41AC4" w:rsidRPr="00E824D6">
        <w:rPr>
          <w:rFonts w:cs="Arial"/>
          <w:szCs w:val="28"/>
        </w:rPr>
        <w:t>es</w:t>
      </w:r>
      <w:r w:rsidR="00B868F0" w:rsidRPr="00E824D6">
        <w:rPr>
          <w:rFonts w:cs="Arial"/>
          <w:szCs w:val="28"/>
        </w:rPr>
        <w:t xml:space="preserve"> </w:t>
      </w:r>
      <w:r w:rsidR="00E41AC4" w:rsidRPr="00E824D6">
        <w:rPr>
          <w:rFonts w:cs="Arial"/>
          <w:szCs w:val="28"/>
        </w:rPr>
        <w:t>suscribieron</w:t>
      </w:r>
      <w:r w:rsidR="00B868F0" w:rsidRPr="00E824D6">
        <w:rPr>
          <w:rFonts w:cs="Arial"/>
          <w:szCs w:val="28"/>
        </w:rPr>
        <w:t xml:space="preserve"> </w:t>
      </w:r>
      <w:r w:rsidRPr="00E824D6">
        <w:rPr>
          <w:rFonts w:cs="Arial"/>
          <w:szCs w:val="28"/>
        </w:rPr>
        <w:t xml:space="preserve">el escrito </w:t>
      </w:r>
      <w:r w:rsidR="001870E2" w:rsidRPr="00E824D6">
        <w:rPr>
          <w:rFonts w:cs="Arial"/>
          <w:szCs w:val="28"/>
        </w:rPr>
        <w:t>de demanda</w:t>
      </w:r>
      <w:r w:rsidR="0000271C" w:rsidRPr="00E824D6">
        <w:rPr>
          <w:rFonts w:cs="Arial"/>
          <w:szCs w:val="28"/>
        </w:rPr>
        <w:t>―</w:t>
      </w:r>
      <w:r w:rsidRPr="00E824D6">
        <w:rPr>
          <w:rFonts w:cs="Arial"/>
          <w:szCs w:val="28"/>
        </w:rPr>
        <w:t xml:space="preserve"> </w:t>
      </w:r>
      <w:r w:rsidR="00DE1E1D" w:rsidRPr="00E824D6">
        <w:rPr>
          <w:rFonts w:cs="Arial"/>
          <w:szCs w:val="28"/>
        </w:rPr>
        <w:t>está</w:t>
      </w:r>
      <w:r w:rsidR="00E41AC4" w:rsidRPr="00E824D6">
        <w:rPr>
          <w:rFonts w:cs="Arial"/>
          <w:szCs w:val="28"/>
        </w:rPr>
        <w:t>n</w:t>
      </w:r>
      <w:r w:rsidRPr="00E824D6">
        <w:rPr>
          <w:rFonts w:cs="Arial"/>
          <w:szCs w:val="28"/>
        </w:rPr>
        <w:t xml:space="preserve"> registrado</w:t>
      </w:r>
      <w:r w:rsidR="00E41AC4" w:rsidRPr="00E824D6">
        <w:rPr>
          <w:rFonts w:cs="Arial"/>
          <w:szCs w:val="28"/>
        </w:rPr>
        <w:t>s</w:t>
      </w:r>
      <w:r w:rsidRPr="00E824D6">
        <w:rPr>
          <w:rFonts w:cs="Arial"/>
          <w:szCs w:val="28"/>
        </w:rPr>
        <w:t xml:space="preserve"> </w:t>
      </w:r>
      <w:r w:rsidR="0000271C" w:rsidRPr="00E824D6">
        <w:rPr>
          <w:rFonts w:cs="Arial"/>
          <w:szCs w:val="28"/>
        </w:rPr>
        <w:t>en</w:t>
      </w:r>
      <w:r w:rsidR="001870E2" w:rsidRPr="00E824D6">
        <w:rPr>
          <w:rFonts w:cs="Arial"/>
          <w:szCs w:val="28"/>
        </w:rPr>
        <w:t xml:space="preserve"> el referido Instituto </w:t>
      </w:r>
      <w:r w:rsidRPr="00E824D6">
        <w:rPr>
          <w:rFonts w:cs="Arial"/>
          <w:szCs w:val="28"/>
        </w:rPr>
        <w:t xml:space="preserve">como </w:t>
      </w:r>
      <w:r w:rsidR="00E41AC4" w:rsidRPr="00E824D6">
        <w:rPr>
          <w:rFonts w:cs="Arial"/>
          <w:szCs w:val="28"/>
        </w:rPr>
        <w:t xml:space="preserve">Presidente del Comité Ejecutivo Estatal, Secretario de Asuntos Jurídicos y Secretario de Asuntos Indígenas </w:t>
      </w:r>
      <w:r w:rsidR="00DA4A4D" w:rsidRPr="00E824D6">
        <w:rPr>
          <w:rFonts w:cs="Arial"/>
          <w:szCs w:val="28"/>
        </w:rPr>
        <w:t>de dicho partido político</w:t>
      </w:r>
      <w:r w:rsidR="005056FE" w:rsidRPr="00E824D6">
        <w:rPr>
          <w:rFonts w:cs="Arial"/>
          <w:szCs w:val="28"/>
        </w:rPr>
        <w:t>, respec</w:t>
      </w:r>
      <w:r w:rsidR="0000271C" w:rsidRPr="00E824D6">
        <w:rPr>
          <w:rFonts w:cs="Arial"/>
          <w:szCs w:val="28"/>
        </w:rPr>
        <w:t>t</w:t>
      </w:r>
      <w:r w:rsidR="005056FE" w:rsidRPr="00E824D6">
        <w:rPr>
          <w:rFonts w:cs="Arial"/>
          <w:szCs w:val="28"/>
        </w:rPr>
        <w:t>i</w:t>
      </w:r>
      <w:r w:rsidR="0000271C" w:rsidRPr="00E824D6">
        <w:rPr>
          <w:rFonts w:cs="Arial"/>
          <w:szCs w:val="28"/>
        </w:rPr>
        <w:t>vamente.</w:t>
      </w:r>
    </w:p>
    <w:p w:rsidR="00D017A0" w:rsidRPr="008D4992" w:rsidRDefault="00D017A0" w:rsidP="00384192">
      <w:pPr>
        <w:pStyle w:val="corte4fondo"/>
        <w:spacing w:line="276" w:lineRule="auto"/>
        <w:ind w:firstLine="0"/>
        <w:rPr>
          <w:rFonts w:cs="Arial"/>
          <w:sz w:val="28"/>
          <w:szCs w:val="28"/>
          <w:lang w:val="es-ES"/>
        </w:rPr>
      </w:pPr>
    </w:p>
    <w:p w:rsidR="00776867" w:rsidRPr="008D4992" w:rsidRDefault="00D017A0" w:rsidP="00384192">
      <w:pPr>
        <w:pStyle w:val="corte4fondo"/>
        <w:spacing w:line="276" w:lineRule="auto"/>
        <w:rPr>
          <w:rFonts w:cs="Arial"/>
          <w:sz w:val="28"/>
          <w:szCs w:val="28"/>
        </w:rPr>
      </w:pPr>
      <w:r w:rsidRPr="008D4992">
        <w:rPr>
          <w:rFonts w:cs="Arial"/>
          <w:sz w:val="28"/>
          <w:szCs w:val="28"/>
        </w:rPr>
        <w:t>En consecuencia, la acción de inconst</w:t>
      </w:r>
      <w:r w:rsidR="005056FE">
        <w:rPr>
          <w:rFonts w:cs="Arial"/>
          <w:sz w:val="28"/>
          <w:szCs w:val="28"/>
        </w:rPr>
        <w:t xml:space="preserve">itucionalidad promovida por el Partido </w:t>
      </w:r>
      <w:r w:rsidR="00E41AC4">
        <w:rPr>
          <w:rFonts w:cs="Arial"/>
          <w:sz w:val="28"/>
          <w:szCs w:val="28"/>
        </w:rPr>
        <w:t xml:space="preserve">Sinaloense </w:t>
      </w:r>
      <w:r w:rsidRPr="008D4992">
        <w:rPr>
          <w:rFonts w:cs="Arial"/>
          <w:sz w:val="28"/>
          <w:szCs w:val="28"/>
        </w:rPr>
        <w:t xml:space="preserve">fue </w:t>
      </w:r>
      <w:r w:rsidR="00DE1E1D" w:rsidRPr="008D4992">
        <w:rPr>
          <w:rFonts w:cs="Arial"/>
          <w:sz w:val="28"/>
          <w:szCs w:val="28"/>
        </w:rPr>
        <w:t>presentada</w:t>
      </w:r>
      <w:r w:rsidRPr="008D4992">
        <w:rPr>
          <w:rFonts w:cs="Arial"/>
          <w:sz w:val="28"/>
          <w:szCs w:val="28"/>
        </w:rPr>
        <w:t xml:space="preserve"> por parte legitimada para ello</w:t>
      </w:r>
      <w:r w:rsidR="003A414F" w:rsidRPr="008D4992">
        <w:rPr>
          <w:rFonts w:cs="Arial"/>
          <w:sz w:val="28"/>
          <w:szCs w:val="28"/>
        </w:rPr>
        <w:t>.</w:t>
      </w:r>
    </w:p>
    <w:p w:rsidR="00D544AF" w:rsidRPr="008D4992" w:rsidRDefault="00D544AF" w:rsidP="00384192">
      <w:pPr>
        <w:pStyle w:val="corte4fondo"/>
        <w:tabs>
          <w:tab w:val="left" w:pos="1905"/>
        </w:tabs>
        <w:spacing w:line="276" w:lineRule="auto"/>
        <w:rPr>
          <w:rFonts w:cs="Arial"/>
          <w:sz w:val="28"/>
          <w:szCs w:val="28"/>
        </w:rPr>
      </w:pPr>
    </w:p>
    <w:p w:rsidR="00DD78EA" w:rsidRPr="00810923" w:rsidRDefault="00D544AF" w:rsidP="00810923">
      <w:pPr>
        <w:pStyle w:val="Ttulo2"/>
        <w:rPr>
          <w:b w:val="0"/>
        </w:rPr>
      </w:pPr>
      <w:r w:rsidRPr="008D4992">
        <w:t xml:space="preserve">CUARTO. </w:t>
      </w:r>
      <w:r w:rsidR="007F7F0C" w:rsidRPr="008D4992">
        <w:t>Causas de i</w:t>
      </w:r>
      <w:r w:rsidR="0002293E">
        <w:t xml:space="preserve">mprocedencia. </w:t>
      </w:r>
      <w:r w:rsidR="00791223" w:rsidRPr="00791223">
        <w:rPr>
          <w:b w:val="0"/>
        </w:rPr>
        <w:t xml:space="preserve">Como única causa de improcedencia expuesta por </w:t>
      </w:r>
      <w:r w:rsidR="00791223">
        <w:rPr>
          <w:b w:val="0"/>
        </w:rPr>
        <w:t>los demandados</w:t>
      </w:r>
      <w:r w:rsidR="00791223" w:rsidRPr="00791223">
        <w:rPr>
          <w:b w:val="0"/>
        </w:rPr>
        <w:t>, e</w:t>
      </w:r>
      <w:r w:rsidR="005178B0" w:rsidRPr="00791223">
        <w:rPr>
          <w:b w:val="0"/>
        </w:rPr>
        <w:t>l</w:t>
      </w:r>
      <w:r w:rsidR="005178B0" w:rsidRPr="00810923">
        <w:rPr>
          <w:b w:val="0"/>
        </w:rPr>
        <w:t xml:space="preserve"> Poder Legislativo </w:t>
      </w:r>
      <w:r w:rsidR="00DD78EA" w:rsidRPr="00810923">
        <w:rPr>
          <w:b w:val="0"/>
        </w:rPr>
        <w:t>local sostiene</w:t>
      </w:r>
      <w:r w:rsidR="005178B0" w:rsidRPr="00810923">
        <w:rPr>
          <w:b w:val="0"/>
        </w:rPr>
        <w:t xml:space="preserve"> que es improcedente la acción de constitucionalidad porque no existe la norma impug</w:t>
      </w:r>
      <w:r w:rsidR="00DD78EA" w:rsidRPr="00810923">
        <w:rPr>
          <w:b w:val="0"/>
        </w:rPr>
        <w:t>nada en razón de que el partido demandante le da un significado distinto a los artículos impugnados, los cuales en realidad no prevén que los representantes de comunidades indígenas ante los ayuntamientos se deben elegir mediante voto universal, libre, secreto y directo.</w:t>
      </w:r>
    </w:p>
    <w:p w:rsidR="005178B0" w:rsidRDefault="005178B0" w:rsidP="00384192">
      <w:pPr>
        <w:pStyle w:val="corte4fondo"/>
        <w:tabs>
          <w:tab w:val="left" w:pos="1905"/>
        </w:tabs>
        <w:spacing w:line="276" w:lineRule="auto"/>
        <w:rPr>
          <w:rFonts w:cs="Arial"/>
          <w:b/>
          <w:bCs/>
          <w:sz w:val="28"/>
          <w:szCs w:val="28"/>
        </w:rPr>
      </w:pPr>
    </w:p>
    <w:p w:rsidR="00070BAF" w:rsidRPr="00CB3771" w:rsidRDefault="00070BAF" w:rsidP="00070BAF">
      <w:pPr>
        <w:pStyle w:val="corte4fondo"/>
        <w:tabs>
          <w:tab w:val="left" w:pos="1905"/>
        </w:tabs>
        <w:spacing w:line="276" w:lineRule="auto"/>
        <w:rPr>
          <w:rFonts w:cs="Arial"/>
          <w:sz w:val="28"/>
          <w:szCs w:val="28"/>
        </w:rPr>
      </w:pPr>
      <w:r w:rsidRPr="00CB3771">
        <w:rPr>
          <w:rFonts w:cs="Arial"/>
          <w:bCs/>
          <w:sz w:val="28"/>
          <w:szCs w:val="28"/>
        </w:rPr>
        <w:t xml:space="preserve">Al respecto, esta Suprema Corte de Justicia de la Nación considera que debe desestimarse la causa de improcedencia argumentada por el legislativo local en tanto lo sostenido en ella implica el estudio de fondo del asunto, a saber, si las disposiciones normativas impugnadas establecen como norma </w:t>
      </w:r>
      <w:r w:rsidRPr="00CB3771">
        <w:rPr>
          <w:rFonts w:cs="Arial"/>
          <w:sz w:val="28"/>
          <w:szCs w:val="28"/>
        </w:rPr>
        <w:t>que los representantes de comunidades indígenas ante los ayuntamientos se deben elegir mediante voto universal, libre, secreto y directo.</w:t>
      </w:r>
    </w:p>
    <w:p w:rsidR="00070BAF" w:rsidRDefault="00070BAF" w:rsidP="00070BAF">
      <w:pPr>
        <w:pStyle w:val="corte4fondo"/>
        <w:tabs>
          <w:tab w:val="left" w:pos="1905"/>
        </w:tabs>
        <w:spacing w:line="276" w:lineRule="auto"/>
        <w:rPr>
          <w:rFonts w:cs="Arial"/>
          <w:sz w:val="28"/>
          <w:szCs w:val="28"/>
        </w:rPr>
      </w:pPr>
    </w:p>
    <w:p w:rsidR="00070BAF" w:rsidRPr="00070BAF" w:rsidRDefault="00070BAF" w:rsidP="00070BAF">
      <w:pPr>
        <w:pStyle w:val="corte4fondo"/>
        <w:tabs>
          <w:tab w:val="left" w:pos="1905"/>
        </w:tabs>
        <w:spacing w:line="276" w:lineRule="auto"/>
        <w:rPr>
          <w:rFonts w:cs="Arial"/>
          <w:sz w:val="28"/>
          <w:szCs w:val="28"/>
        </w:rPr>
      </w:pPr>
      <w:r>
        <w:rPr>
          <w:rFonts w:cs="Arial"/>
          <w:sz w:val="28"/>
          <w:szCs w:val="28"/>
        </w:rPr>
        <w:t xml:space="preserve">Lo anterior en términos de la jurisprudencia </w:t>
      </w:r>
      <w:r w:rsidR="004F2E6F">
        <w:rPr>
          <w:rFonts w:cs="Arial"/>
          <w:sz w:val="28"/>
          <w:szCs w:val="28"/>
        </w:rPr>
        <w:t xml:space="preserve">P/J 36/2004, de rubro </w:t>
      </w:r>
      <w:r w:rsidR="004F2E6F" w:rsidRPr="00CB3771">
        <w:rPr>
          <w:rFonts w:cs="Arial"/>
          <w:b/>
          <w:i/>
          <w:sz w:val="28"/>
          <w:szCs w:val="28"/>
        </w:rPr>
        <w:t xml:space="preserve">“ACCIÓN DE INCONSTITUCIONALIDAD. SI SE HACE </w:t>
      </w:r>
      <w:r w:rsidR="004F2E6F" w:rsidRPr="00CB3771">
        <w:rPr>
          <w:rFonts w:cs="Arial"/>
          <w:b/>
          <w:i/>
          <w:sz w:val="28"/>
          <w:szCs w:val="28"/>
        </w:rPr>
        <w:lastRenderedPageBreak/>
        <w:t>VALER UNA CAUSAL DE IMPROCEDENCIA QUE INVOLUCRA EL ESTUDIO DE FONDO, DEBERÁ DESESTIMARSE.</w:t>
      </w:r>
      <w:r w:rsidR="00CB3771" w:rsidRPr="00CB3771">
        <w:rPr>
          <w:rStyle w:val="Refdenotaalpie"/>
          <w:rFonts w:cs="Arial"/>
          <w:b/>
          <w:i/>
          <w:sz w:val="28"/>
          <w:szCs w:val="28"/>
        </w:rPr>
        <w:footnoteReference w:id="6"/>
      </w:r>
      <w:r w:rsidR="004F2E6F" w:rsidRPr="00CB3771">
        <w:rPr>
          <w:rFonts w:cs="Arial"/>
          <w:b/>
          <w:i/>
          <w:sz w:val="28"/>
          <w:szCs w:val="28"/>
        </w:rPr>
        <w:t>”</w:t>
      </w:r>
      <w:r w:rsidR="004F2E6F">
        <w:rPr>
          <w:rFonts w:cs="Arial"/>
          <w:sz w:val="28"/>
          <w:szCs w:val="28"/>
        </w:rPr>
        <w:t>.</w:t>
      </w:r>
    </w:p>
    <w:p w:rsidR="00DD78EA" w:rsidRDefault="00DD78EA" w:rsidP="00384192">
      <w:pPr>
        <w:pStyle w:val="corte4fondo"/>
        <w:tabs>
          <w:tab w:val="left" w:pos="1905"/>
        </w:tabs>
        <w:spacing w:line="276" w:lineRule="auto"/>
        <w:rPr>
          <w:rFonts w:cs="Arial"/>
          <w:b/>
          <w:bCs/>
          <w:sz w:val="28"/>
          <w:szCs w:val="28"/>
        </w:rPr>
      </w:pPr>
    </w:p>
    <w:p w:rsidR="0055606B" w:rsidRDefault="0055606B" w:rsidP="00384192">
      <w:r w:rsidRPr="0055606B">
        <w:rPr>
          <w:rFonts w:cs="Arial"/>
          <w:szCs w:val="28"/>
        </w:rPr>
        <w:t>Por otra parte</w:t>
      </w:r>
      <w:r w:rsidR="00810923" w:rsidRPr="0055606B">
        <w:rPr>
          <w:rFonts w:cs="Arial"/>
          <w:szCs w:val="28"/>
        </w:rPr>
        <w:t xml:space="preserve">, </w:t>
      </w:r>
      <w:r w:rsidR="00791223" w:rsidRPr="0055606B">
        <w:rPr>
          <w:rFonts w:cs="Arial"/>
          <w:szCs w:val="28"/>
        </w:rPr>
        <w:t>este</w:t>
      </w:r>
      <w:r w:rsidR="00810923" w:rsidRPr="0055606B">
        <w:rPr>
          <w:rFonts w:cs="Arial"/>
          <w:szCs w:val="28"/>
        </w:rPr>
        <w:t xml:space="preserve"> Tribunal Pleno </w:t>
      </w:r>
      <w:r w:rsidR="00791223" w:rsidRPr="0055606B">
        <w:rPr>
          <w:rFonts w:cs="Arial"/>
          <w:szCs w:val="28"/>
        </w:rPr>
        <w:t xml:space="preserve">de la Suprema Corte de Justicia de la Nación advierte </w:t>
      </w:r>
      <w:r w:rsidR="00810923" w:rsidRPr="0055606B">
        <w:rPr>
          <w:rFonts w:cs="Arial"/>
          <w:szCs w:val="28"/>
        </w:rPr>
        <w:t xml:space="preserve">de oficio </w:t>
      </w:r>
      <w:r w:rsidRPr="0055606B">
        <w:rPr>
          <w:rFonts w:cs="Arial"/>
          <w:szCs w:val="28"/>
        </w:rPr>
        <w:t xml:space="preserve">que en el caso es aplicable la causa de improcedencia establecida en el artículo 19, fracción V, de la </w:t>
      </w:r>
      <w:r w:rsidRPr="0055606B">
        <w:t>Ley Reglamentaria de las Fracciones I y II del Artículo 105 de la Constitución Política de los Estados Unidos Mexicanos</w:t>
      </w:r>
      <w:r>
        <w:t>, relativa a la cesación de efectos, por las siguientes razones.</w:t>
      </w:r>
    </w:p>
    <w:p w:rsidR="0055606B" w:rsidRDefault="0055606B" w:rsidP="00384192"/>
    <w:p w:rsidR="0055606B" w:rsidRPr="0055606B" w:rsidRDefault="00BE58BD" w:rsidP="00BE58BD">
      <w:pPr>
        <w:rPr>
          <w:rFonts w:cs="Arial"/>
          <w:szCs w:val="28"/>
        </w:rPr>
      </w:pPr>
      <w:r>
        <w:rPr>
          <w:rFonts w:cs="Arial"/>
          <w:szCs w:val="28"/>
        </w:rPr>
        <w:t>En el decreto 454, publicado en el Periódico Oficial del Estado de Sinaloa el cinco de junio de dos mil veinte, fueron reformados</w:t>
      </w:r>
      <w:r w:rsidRPr="00BE58BD">
        <w:rPr>
          <w:rFonts w:cs="Arial"/>
          <w:szCs w:val="28"/>
        </w:rPr>
        <w:t xml:space="preserve"> </w:t>
      </w:r>
      <w:r w:rsidRPr="00BE58BD">
        <w:rPr>
          <w:rFonts w:cs="Arial"/>
          <w:i/>
          <w:szCs w:val="28"/>
        </w:rPr>
        <w:t>“[…] los artículos 18, párrafo segundo; 36, párrafos segundo y noveno; 80, párrafo segundo; 142, párrafo primero; 146, fracciones III y IV; 153 y 161; [adicionado] un párrafo segundo al artículo 79; un párrafo tercero al 80, recorriendo los siguientes en el mismo orden; y una fracción XXIV Bis al 146; y [derogados] los párrafos tercero, cuarto, quinto, sexto y décimo al artículo 36, todos de la Ley de Instituciones y Procedimientos Electorales del Estado de Sinaloa.”</w:t>
      </w:r>
      <w:r>
        <w:rPr>
          <w:rFonts w:cs="Arial"/>
          <w:szCs w:val="28"/>
        </w:rPr>
        <w:t>.</w:t>
      </w:r>
    </w:p>
    <w:p w:rsidR="0055606B" w:rsidRDefault="0055606B" w:rsidP="00384192">
      <w:pPr>
        <w:rPr>
          <w:rFonts w:cs="Arial"/>
          <w:szCs w:val="28"/>
        </w:rPr>
      </w:pPr>
    </w:p>
    <w:p w:rsidR="00152D45" w:rsidRDefault="00BE58BD" w:rsidP="00C14722">
      <w:pPr>
        <w:rPr>
          <w:rFonts w:cs="Arial"/>
          <w:szCs w:val="28"/>
        </w:rPr>
      </w:pPr>
      <w:r w:rsidRPr="008372B0">
        <w:rPr>
          <w:rFonts w:cs="Arial"/>
          <w:szCs w:val="28"/>
        </w:rPr>
        <w:t xml:space="preserve">Sin embargo, </w:t>
      </w:r>
      <w:r w:rsidR="00A00382" w:rsidRPr="008372B0">
        <w:rPr>
          <w:rFonts w:cs="Arial"/>
          <w:szCs w:val="28"/>
        </w:rPr>
        <w:t xml:space="preserve">posteriormente </w:t>
      </w:r>
      <w:r w:rsidR="00152D45" w:rsidRPr="008372B0">
        <w:rPr>
          <w:rFonts w:cs="Arial"/>
          <w:szCs w:val="28"/>
        </w:rPr>
        <w:t xml:space="preserve">en el Periódico Oficial del Estado de Sinaloa fueron publicados </w:t>
      </w:r>
      <w:r w:rsidR="00942DF2" w:rsidRPr="008372B0">
        <w:rPr>
          <w:rFonts w:cs="Arial"/>
          <w:szCs w:val="28"/>
        </w:rPr>
        <w:t>tres</w:t>
      </w:r>
      <w:r w:rsidR="00152D45" w:rsidRPr="008372B0">
        <w:rPr>
          <w:rFonts w:cs="Arial"/>
          <w:szCs w:val="28"/>
        </w:rPr>
        <w:t xml:space="preserve"> decretos </w:t>
      </w:r>
      <w:r w:rsidR="00107084" w:rsidRPr="008372B0">
        <w:rPr>
          <w:rFonts w:cs="Arial"/>
          <w:szCs w:val="28"/>
        </w:rPr>
        <w:t xml:space="preserve">(decretos 455, 487 y 505) </w:t>
      </w:r>
      <w:r w:rsidR="00A00382" w:rsidRPr="008372B0">
        <w:rPr>
          <w:rFonts w:cs="Arial"/>
          <w:szCs w:val="28"/>
        </w:rPr>
        <w:t>mediante los cuales</w:t>
      </w:r>
      <w:r w:rsidR="00152D45" w:rsidRPr="008372B0">
        <w:rPr>
          <w:rFonts w:cs="Arial"/>
          <w:szCs w:val="28"/>
        </w:rPr>
        <w:t xml:space="preserve"> el Poder Legislativo local mod</w:t>
      </w:r>
      <w:r w:rsidR="00A00382" w:rsidRPr="008372B0">
        <w:rPr>
          <w:rFonts w:cs="Arial"/>
          <w:szCs w:val="28"/>
        </w:rPr>
        <w:t xml:space="preserve">ificó algunas de las disposiciones normativas reformadas originalmente en el decreto </w:t>
      </w:r>
      <w:r w:rsidR="00E255E8">
        <w:rPr>
          <w:rFonts w:cs="Arial"/>
          <w:szCs w:val="28"/>
        </w:rPr>
        <w:t>454</w:t>
      </w:r>
      <w:r w:rsidR="00A00382" w:rsidRPr="008372B0">
        <w:rPr>
          <w:rFonts w:cs="Arial"/>
          <w:szCs w:val="28"/>
        </w:rPr>
        <w:t xml:space="preserve"> impugnado por el partido político demandante.</w:t>
      </w:r>
    </w:p>
    <w:p w:rsidR="00152D45" w:rsidRDefault="00152D45" w:rsidP="00C14722">
      <w:pPr>
        <w:rPr>
          <w:rFonts w:cs="Arial"/>
          <w:szCs w:val="28"/>
        </w:rPr>
      </w:pPr>
    </w:p>
    <w:p w:rsidR="00C14722" w:rsidRDefault="00A00382" w:rsidP="00C14722">
      <w:pPr>
        <w:rPr>
          <w:rFonts w:cs="Arial"/>
          <w:szCs w:val="28"/>
        </w:rPr>
      </w:pPr>
      <w:r>
        <w:rPr>
          <w:rFonts w:cs="Arial"/>
          <w:szCs w:val="28"/>
        </w:rPr>
        <w:t>En efecto, e</w:t>
      </w:r>
      <w:r w:rsidR="00BE58BD">
        <w:rPr>
          <w:rFonts w:cs="Arial"/>
          <w:szCs w:val="28"/>
        </w:rPr>
        <w:t>l uno de julio de dos m</w:t>
      </w:r>
      <w:r w:rsidR="006116F2">
        <w:rPr>
          <w:rFonts w:cs="Arial"/>
          <w:szCs w:val="28"/>
        </w:rPr>
        <w:t>il veinte</w:t>
      </w:r>
      <w:r w:rsidR="00BE58BD">
        <w:rPr>
          <w:rFonts w:cs="Arial"/>
          <w:szCs w:val="28"/>
        </w:rPr>
        <w:t xml:space="preserve"> fue publicado en el Periódico Oficial local el decreto 455</w:t>
      </w:r>
      <w:r>
        <w:rPr>
          <w:rFonts w:cs="Arial"/>
          <w:szCs w:val="28"/>
        </w:rPr>
        <w:t>,</w:t>
      </w:r>
      <w:r w:rsidR="00BE58BD">
        <w:rPr>
          <w:rFonts w:cs="Arial"/>
          <w:szCs w:val="28"/>
        </w:rPr>
        <w:t xml:space="preserve"> en el cual, entre otras</w:t>
      </w:r>
      <w:r w:rsidR="004A586A">
        <w:rPr>
          <w:rFonts w:cs="Arial"/>
          <w:szCs w:val="28"/>
        </w:rPr>
        <w:t xml:space="preserve"> modificaciones legales</w:t>
      </w:r>
      <w:r w:rsidR="00BE58BD">
        <w:rPr>
          <w:rFonts w:cs="Arial"/>
          <w:szCs w:val="28"/>
        </w:rPr>
        <w:t xml:space="preserve">, fueron </w:t>
      </w:r>
      <w:r w:rsidR="00BE58BD" w:rsidRPr="00BE58BD">
        <w:rPr>
          <w:rFonts w:cs="Arial"/>
          <w:szCs w:val="28"/>
        </w:rPr>
        <w:t>adicionan las fracciones XXXVIII Bis y</w:t>
      </w:r>
      <w:r w:rsidR="004A586A">
        <w:rPr>
          <w:rFonts w:cs="Arial"/>
          <w:szCs w:val="28"/>
        </w:rPr>
        <w:t xml:space="preserve"> XXXVIII Bis A al artículo 146 de la </w:t>
      </w:r>
      <w:r w:rsidR="004A586A" w:rsidRPr="004A586A">
        <w:rPr>
          <w:rFonts w:cs="Arial"/>
          <w:szCs w:val="28"/>
        </w:rPr>
        <w:t>Ley de Instituciones y Procedimientos Electorales del Estado de Sinaloa</w:t>
      </w:r>
      <w:r w:rsidR="004A586A">
        <w:rPr>
          <w:rFonts w:cs="Arial"/>
          <w:szCs w:val="28"/>
        </w:rPr>
        <w:t>.</w:t>
      </w:r>
      <w:r w:rsidR="000D4BB6">
        <w:rPr>
          <w:rFonts w:cs="Arial"/>
          <w:szCs w:val="28"/>
        </w:rPr>
        <w:t xml:space="preserve"> </w:t>
      </w:r>
      <w:r w:rsidR="00C14722">
        <w:rPr>
          <w:rFonts w:cs="Arial"/>
          <w:szCs w:val="28"/>
        </w:rPr>
        <w:t xml:space="preserve">Las disposiciones </w:t>
      </w:r>
      <w:r w:rsidR="00C14722">
        <w:rPr>
          <w:rFonts w:cs="Arial"/>
          <w:szCs w:val="28"/>
        </w:rPr>
        <w:lastRenderedPageBreak/>
        <w:t>normativas impugnada y como producto de la reforma recién referida son del tenor siguiente</w:t>
      </w:r>
      <w:r w:rsidR="00FF4A6C">
        <w:rPr>
          <w:rFonts w:cs="Arial"/>
          <w:szCs w:val="28"/>
        </w:rPr>
        <w:t>:</w:t>
      </w:r>
    </w:p>
    <w:p w:rsidR="000D4BB6" w:rsidRDefault="000D4BB6" w:rsidP="00BE58BD">
      <w:pPr>
        <w:rPr>
          <w:rFonts w:cs="Arial"/>
          <w:szCs w:val="28"/>
        </w:rPr>
      </w:pPr>
    </w:p>
    <w:tbl>
      <w:tblPr>
        <w:tblStyle w:val="Tablaconcuadrcula1"/>
        <w:tblW w:w="0" w:type="auto"/>
        <w:tblLook w:val="04A0" w:firstRow="1" w:lastRow="0" w:firstColumn="1" w:lastColumn="0" w:noHBand="0" w:noVBand="1"/>
      </w:tblPr>
      <w:tblGrid>
        <w:gridCol w:w="4290"/>
        <w:gridCol w:w="4254"/>
      </w:tblGrid>
      <w:tr w:rsidR="000D4BB6" w:rsidRPr="000D4BB6" w:rsidTr="000D4BB6">
        <w:tc>
          <w:tcPr>
            <w:tcW w:w="4290" w:type="dxa"/>
            <w:shd w:val="clear" w:color="auto" w:fill="D9D9D9"/>
          </w:tcPr>
          <w:p w:rsidR="000D4BB6" w:rsidRPr="000D4BB6" w:rsidRDefault="000D4BB6" w:rsidP="000D4BB6">
            <w:pPr>
              <w:ind w:firstLine="0"/>
              <w:jc w:val="center"/>
              <w:rPr>
                <w:rFonts w:cs="Arial"/>
                <w:b/>
                <w:sz w:val="24"/>
                <w:lang w:val="es-ES_tradnl"/>
              </w:rPr>
            </w:pPr>
            <w:r w:rsidRPr="000D4BB6">
              <w:rPr>
                <w:rFonts w:cs="Arial"/>
                <w:b/>
                <w:sz w:val="24"/>
                <w:lang w:val="es-ES_tradnl"/>
              </w:rPr>
              <w:t xml:space="preserve">Texto del artículo </w:t>
            </w:r>
            <w:r>
              <w:rPr>
                <w:rFonts w:cs="Arial"/>
                <w:b/>
                <w:sz w:val="24"/>
                <w:lang w:val="es-ES_tradnl"/>
              </w:rPr>
              <w:t>impugnado</w:t>
            </w:r>
          </w:p>
        </w:tc>
        <w:tc>
          <w:tcPr>
            <w:tcW w:w="4254" w:type="dxa"/>
            <w:shd w:val="clear" w:color="auto" w:fill="D9D9D9"/>
          </w:tcPr>
          <w:p w:rsidR="000D4BB6" w:rsidRPr="000D4BB6" w:rsidRDefault="000D4BB6" w:rsidP="000D4BB6">
            <w:pPr>
              <w:ind w:firstLine="0"/>
              <w:jc w:val="center"/>
              <w:rPr>
                <w:rFonts w:cs="Arial"/>
                <w:b/>
                <w:sz w:val="24"/>
                <w:lang w:val="es-ES_tradnl"/>
              </w:rPr>
            </w:pPr>
            <w:r w:rsidRPr="000D4BB6">
              <w:rPr>
                <w:rFonts w:cs="Arial"/>
                <w:b/>
                <w:sz w:val="24"/>
                <w:lang w:val="es-ES_tradnl"/>
              </w:rPr>
              <w:t>Texto del artículo reformado</w:t>
            </w:r>
            <w:r w:rsidR="002157E7">
              <w:rPr>
                <w:rFonts w:cs="Arial"/>
                <w:b/>
                <w:sz w:val="24"/>
                <w:lang w:val="es-ES_tradnl"/>
              </w:rPr>
              <w:t xml:space="preserve"> mediante el decreto 455</w:t>
            </w:r>
          </w:p>
        </w:tc>
      </w:tr>
      <w:tr w:rsidR="000D4BB6" w:rsidRPr="000D4BB6" w:rsidTr="000D4BB6">
        <w:tc>
          <w:tcPr>
            <w:tcW w:w="4290" w:type="dxa"/>
          </w:tcPr>
          <w:p w:rsidR="000D4BB6" w:rsidRDefault="000D4BB6" w:rsidP="00A00382">
            <w:pPr>
              <w:ind w:firstLine="0"/>
              <w:rPr>
                <w:rFonts w:eastAsia="Calibri"/>
                <w:sz w:val="24"/>
                <w:lang w:val="es-MX" w:eastAsia="en-US"/>
              </w:rPr>
            </w:pPr>
            <w:r w:rsidRPr="000D4BB6">
              <w:rPr>
                <w:rFonts w:eastAsia="Calibri"/>
                <w:sz w:val="24"/>
                <w:lang w:val="es-MX" w:eastAsia="en-US"/>
              </w:rPr>
              <w:t>Artículo 146. Son atribuciones del C</w:t>
            </w:r>
            <w:r w:rsidR="00A00382">
              <w:rPr>
                <w:rFonts w:eastAsia="Calibri"/>
                <w:sz w:val="24"/>
                <w:lang w:val="es-MX" w:eastAsia="en-US"/>
              </w:rPr>
              <w:t>onsejo General, las siguientes:</w:t>
            </w:r>
          </w:p>
          <w:p w:rsidR="00A00382" w:rsidRDefault="00A00382" w:rsidP="00A00382">
            <w:pPr>
              <w:ind w:firstLine="0"/>
              <w:rPr>
                <w:rFonts w:eastAsia="Calibri"/>
                <w:sz w:val="24"/>
                <w:lang w:val="es-MX" w:eastAsia="en-US"/>
              </w:rPr>
            </w:pPr>
          </w:p>
          <w:p w:rsidR="00A00382" w:rsidRPr="000D4BB6" w:rsidRDefault="00A00382" w:rsidP="00A00382">
            <w:pPr>
              <w:ind w:firstLine="0"/>
              <w:rPr>
                <w:rFonts w:eastAsia="Calibri"/>
                <w:sz w:val="24"/>
                <w:lang w:val="es-MX" w:eastAsia="en-US"/>
              </w:rPr>
            </w:pPr>
            <w:r>
              <w:rPr>
                <w:rFonts w:eastAsia="Calibri"/>
                <w:sz w:val="24"/>
                <w:lang w:val="es-MX" w:eastAsia="en-US"/>
              </w:rPr>
              <w:t>[…]</w:t>
            </w:r>
          </w:p>
          <w:p w:rsidR="000D4BB6" w:rsidRPr="000D4BB6" w:rsidRDefault="000D4BB6" w:rsidP="000D4BB6">
            <w:pPr>
              <w:ind w:firstLine="0"/>
              <w:rPr>
                <w:rFonts w:eastAsia="Calibri"/>
                <w:sz w:val="24"/>
                <w:lang w:val="es-MX" w:eastAsia="en-US"/>
              </w:rPr>
            </w:pPr>
          </w:p>
          <w:p w:rsidR="000D4BB6" w:rsidRPr="003754EE" w:rsidRDefault="000D4BB6" w:rsidP="000D4BB6">
            <w:pPr>
              <w:ind w:firstLine="0"/>
              <w:rPr>
                <w:rFonts w:eastAsia="Calibri"/>
                <w:b/>
                <w:sz w:val="24"/>
                <w:lang w:val="es-MX" w:eastAsia="en-US"/>
              </w:rPr>
            </w:pPr>
            <w:r w:rsidRPr="003754EE">
              <w:rPr>
                <w:rFonts w:eastAsia="Calibri"/>
                <w:b/>
                <w:sz w:val="24"/>
                <w:lang w:val="es-MX" w:eastAsia="en-US"/>
              </w:rPr>
              <w:t>III. Designar durante la primera quincena del mes de noviembre del año previo al de la elección, al Presidente y consejeros electorales que integren los Consejos Distritales y a los integrantes de los Consejos Municipales con base en los lineamientos respectivos;</w:t>
            </w:r>
          </w:p>
          <w:p w:rsidR="000D4BB6" w:rsidRPr="000D4BB6" w:rsidRDefault="000D4BB6" w:rsidP="000D4BB6">
            <w:pPr>
              <w:ind w:firstLine="0"/>
              <w:rPr>
                <w:rFonts w:eastAsia="Calibri"/>
                <w:sz w:val="24"/>
                <w:lang w:val="es-MX" w:eastAsia="en-US"/>
              </w:rPr>
            </w:pPr>
          </w:p>
          <w:p w:rsidR="000D4BB6" w:rsidRPr="003754EE" w:rsidRDefault="000D4BB6" w:rsidP="000D4BB6">
            <w:pPr>
              <w:ind w:firstLine="0"/>
              <w:rPr>
                <w:rFonts w:eastAsia="Calibri"/>
                <w:b/>
                <w:sz w:val="24"/>
                <w:lang w:val="es-MX" w:eastAsia="en-US"/>
              </w:rPr>
            </w:pPr>
            <w:r w:rsidRPr="003754EE">
              <w:rPr>
                <w:rFonts w:eastAsia="Calibri"/>
                <w:b/>
                <w:sz w:val="24"/>
                <w:lang w:val="es-MX" w:eastAsia="en-US"/>
              </w:rPr>
              <w:t>IV. Recibir y autorizar el registro de los Partidos Políticos nacionales, para participar en los procesos electorales locales;</w:t>
            </w:r>
          </w:p>
          <w:p w:rsidR="000D4BB6" w:rsidRPr="000D4BB6" w:rsidRDefault="000D4BB6" w:rsidP="000D4BB6">
            <w:pPr>
              <w:ind w:firstLine="0"/>
              <w:rPr>
                <w:rFonts w:eastAsia="Calibri"/>
                <w:sz w:val="24"/>
                <w:lang w:val="es-MX" w:eastAsia="en-US"/>
              </w:rPr>
            </w:pPr>
          </w:p>
          <w:p w:rsidR="000D4BB6" w:rsidRDefault="00A00382" w:rsidP="000D4BB6">
            <w:pPr>
              <w:ind w:firstLine="0"/>
              <w:rPr>
                <w:rFonts w:eastAsia="Calibri"/>
                <w:sz w:val="24"/>
                <w:lang w:val="es-MX" w:eastAsia="en-US"/>
              </w:rPr>
            </w:pPr>
            <w:r>
              <w:rPr>
                <w:rFonts w:eastAsia="Calibri"/>
                <w:sz w:val="24"/>
                <w:lang w:val="es-MX" w:eastAsia="en-US"/>
              </w:rPr>
              <w:t>[…]</w:t>
            </w:r>
          </w:p>
          <w:p w:rsidR="000D4BB6" w:rsidRDefault="000D4BB6" w:rsidP="000D4BB6">
            <w:pPr>
              <w:ind w:firstLine="0"/>
              <w:rPr>
                <w:rFonts w:eastAsia="Calibri"/>
                <w:sz w:val="24"/>
                <w:lang w:val="es-MX" w:eastAsia="en-US"/>
              </w:rPr>
            </w:pPr>
          </w:p>
          <w:p w:rsidR="000D4BB6" w:rsidRPr="00F120B5" w:rsidRDefault="000D4BB6" w:rsidP="000D4BB6">
            <w:pPr>
              <w:ind w:firstLine="0"/>
              <w:rPr>
                <w:rFonts w:eastAsia="Calibri"/>
                <w:b/>
                <w:sz w:val="24"/>
                <w:lang w:val="es-MX" w:eastAsia="en-US"/>
              </w:rPr>
            </w:pPr>
            <w:r w:rsidRPr="00F120B5">
              <w:rPr>
                <w:rFonts w:eastAsia="Calibri"/>
                <w:b/>
                <w:sz w:val="24"/>
                <w:lang w:val="es-MX" w:eastAsia="en-US"/>
              </w:rPr>
              <w:t>XXIV Bis. Recibir supletoriamente las manifestaciones de intención de ciudadanos que pretendan postularse como candidatos independientes a los cargos de Diputados, Presidente municipal, Síndico Procurador y Regidurías por el sistema de mayoría relativa; acreditar a los aspirantes que hayan cumplido con los requisitos; así como recibir y resolver las solicitudes de registro de fórmulas de candidatos independientes a dichos cargos</w:t>
            </w:r>
            <w:r w:rsidR="00A00382">
              <w:rPr>
                <w:rFonts w:eastAsia="Calibri"/>
                <w:b/>
                <w:sz w:val="24"/>
                <w:lang w:val="es-MX" w:eastAsia="en-US"/>
              </w:rPr>
              <w:t>;</w:t>
            </w:r>
          </w:p>
          <w:p w:rsidR="000D4BB6" w:rsidRPr="000D4BB6" w:rsidRDefault="000D4BB6" w:rsidP="000D4BB6">
            <w:pPr>
              <w:ind w:firstLine="0"/>
              <w:rPr>
                <w:rFonts w:eastAsia="Calibri"/>
                <w:sz w:val="24"/>
                <w:lang w:val="es-MX" w:eastAsia="en-US"/>
              </w:rPr>
            </w:pPr>
          </w:p>
          <w:p w:rsidR="000D4BB6" w:rsidRPr="000D4BB6" w:rsidRDefault="00A00382" w:rsidP="000D4BB6">
            <w:pPr>
              <w:ind w:firstLine="0"/>
              <w:rPr>
                <w:rFonts w:eastAsia="Calibri"/>
                <w:b/>
                <w:sz w:val="24"/>
                <w:lang w:val="es-MX" w:eastAsia="en-US"/>
              </w:rPr>
            </w:pPr>
            <w:r>
              <w:rPr>
                <w:rFonts w:eastAsia="Calibri"/>
                <w:sz w:val="24"/>
                <w:lang w:val="es-MX" w:eastAsia="en-US"/>
              </w:rPr>
              <w:t>[…]</w:t>
            </w:r>
          </w:p>
        </w:tc>
        <w:tc>
          <w:tcPr>
            <w:tcW w:w="4254" w:type="dxa"/>
          </w:tcPr>
          <w:p w:rsidR="000D4BB6" w:rsidRPr="000D4BB6" w:rsidRDefault="000D4BB6" w:rsidP="000D4BB6">
            <w:pPr>
              <w:ind w:firstLine="0"/>
              <w:rPr>
                <w:rFonts w:eastAsia="Calibri"/>
                <w:sz w:val="24"/>
                <w:lang w:val="es-MX" w:eastAsia="en-US"/>
              </w:rPr>
            </w:pPr>
            <w:r w:rsidRPr="000D4BB6">
              <w:rPr>
                <w:rFonts w:eastAsia="Calibri"/>
                <w:sz w:val="24"/>
                <w:lang w:val="es-MX" w:eastAsia="en-US"/>
              </w:rPr>
              <w:t>Artículo 146. Son atribuciones del Consejo General, las siguientes:</w:t>
            </w:r>
          </w:p>
          <w:p w:rsidR="000D4BB6" w:rsidRPr="000D4BB6" w:rsidRDefault="000D4BB6" w:rsidP="000D4BB6">
            <w:pPr>
              <w:ind w:firstLine="0"/>
              <w:rPr>
                <w:rFonts w:eastAsia="Calibri"/>
                <w:sz w:val="24"/>
                <w:lang w:val="es-MX" w:eastAsia="en-US"/>
              </w:rPr>
            </w:pPr>
          </w:p>
          <w:p w:rsidR="000D4BB6" w:rsidRDefault="00A00382" w:rsidP="00A00382">
            <w:pPr>
              <w:ind w:firstLine="0"/>
              <w:rPr>
                <w:rFonts w:eastAsia="Calibri"/>
                <w:sz w:val="24"/>
                <w:lang w:val="es-MX" w:eastAsia="en-US"/>
              </w:rPr>
            </w:pPr>
            <w:r>
              <w:rPr>
                <w:rFonts w:eastAsia="Calibri"/>
                <w:sz w:val="24"/>
                <w:lang w:val="es-MX" w:eastAsia="en-US"/>
              </w:rPr>
              <w:t>[…]</w:t>
            </w:r>
          </w:p>
          <w:p w:rsidR="000D4BB6" w:rsidRDefault="000D4BB6" w:rsidP="000D4BB6">
            <w:pPr>
              <w:ind w:firstLine="0"/>
              <w:rPr>
                <w:rFonts w:eastAsia="Calibri"/>
                <w:sz w:val="24"/>
                <w:lang w:val="es-MX" w:eastAsia="en-US"/>
              </w:rPr>
            </w:pPr>
          </w:p>
          <w:p w:rsidR="000D4BB6" w:rsidRPr="002157E7" w:rsidRDefault="000D4BB6" w:rsidP="000D4BB6">
            <w:pPr>
              <w:ind w:firstLine="0"/>
              <w:rPr>
                <w:rFonts w:eastAsia="Calibri"/>
                <w:b/>
                <w:sz w:val="24"/>
                <w:lang w:val="es-MX" w:eastAsia="en-US"/>
              </w:rPr>
            </w:pPr>
            <w:r w:rsidRPr="002157E7">
              <w:rPr>
                <w:rFonts w:eastAsia="Calibri"/>
                <w:b/>
                <w:sz w:val="24"/>
                <w:lang w:val="es-MX" w:eastAsia="en-US"/>
              </w:rPr>
              <w:t>XXXVIII Bis. Velar porque los principios de certeza, legalidad,</w:t>
            </w:r>
            <w:r w:rsidR="002157E7" w:rsidRPr="002157E7">
              <w:rPr>
                <w:rFonts w:eastAsia="Calibri"/>
                <w:b/>
                <w:sz w:val="24"/>
                <w:lang w:val="es-MX" w:eastAsia="en-US"/>
              </w:rPr>
              <w:t xml:space="preserve"> independencia, imparcialidad, </w:t>
            </w:r>
            <w:r w:rsidRPr="002157E7">
              <w:rPr>
                <w:rFonts w:eastAsia="Calibri"/>
                <w:b/>
                <w:sz w:val="24"/>
                <w:lang w:val="es-MX" w:eastAsia="en-US"/>
              </w:rPr>
              <w:t>máxima publicidad, objetividad y</w:t>
            </w:r>
            <w:r w:rsidR="002157E7" w:rsidRPr="002157E7">
              <w:rPr>
                <w:rFonts w:eastAsia="Calibri"/>
                <w:b/>
                <w:sz w:val="24"/>
                <w:lang w:val="es-MX" w:eastAsia="en-US"/>
              </w:rPr>
              <w:t xml:space="preserve"> </w:t>
            </w:r>
            <w:r w:rsidRPr="002157E7">
              <w:rPr>
                <w:rFonts w:eastAsia="Calibri"/>
                <w:b/>
                <w:sz w:val="24"/>
                <w:lang w:val="es-MX" w:eastAsia="en-US"/>
              </w:rPr>
              <w:t>paridad de género guíen todas las actividades del Instituto, con</w:t>
            </w:r>
            <w:r w:rsidR="002157E7" w:rsidRPr="002157E7">
              <w:rPr>
                <w:rFonts w:eastAsia="Calibri"/>
                <w:b/>
                <w:sz w:val="24"/>
                <w:lang w:val="es-MX" w:eastAsia="en-US"/>
              </w:rPr>
              <w:t xml:space="preserve"> </w:t>
            </w:r>
            <w:r w:rsidRPr="002157E7">
              <w:rPr>
                <w:rFonts w:eastAsia="Calibri"/>
                <w:b/>
                <w:sz w:val="24"/>
                <w:lang w:val="es-MX" w:eastAsia="en-US"/>
              </w:rPr>
              <w:t>apego a la perspectiva de género;</w:t>
            </w:r>
          </w:p>
          <w:p w:rsidR="002157E7" w:rsidRPr="002157E7" w:rsidRDefault="002157E7" w:rsidP="000D4BB6">
            <w:pPr>
              <w:ind w:firstLine="0"/>
              <w:rPr>
                <w:rFonts w:eastAsia="Calibri"/>
                <w:b/>
                <w:sz w:val="24"/>
                <w:lang w:val="es-MX" w:eastAsia="en-US"/>
              </w:rPr>
            </w:pPr>
          </w:p>
          <w:p w:rsidR="000D4BB6" w:rsidRPr="002157E7" w:rsidRDefault="002157E7" w:rsidP="000D4BB6">
            <w:pPr>
              <w:ind w:firstLine="0"/>
              <w:rPr>
                <w:rFonts w:eastAsia="Calibri"/>
                <w:b/>
                <w:sz w:val="24"/>
                <w:lang w:val="es-MX" w:eastAsia="en-US"/>
              </w:rPr>
            </w:pPr>
            <w:r w:rsidRPr="002157E7">
              <w:rPr>
                <w:rFonts w:eastAsia="Calibri"/>
                <w:b/>
                <w:sz w:val="24"/>
                <w:lang w:val="es-MX" w:eastAsia="en-US"/>
              </w:rPr>
              <w:t>XXXVIII</w:t>
            </w:r>
            <w:r w:rsidR="000D4BB6" w:rsidRPr="002157E7">
              <w:rPr>
                <w:rFonts w:eastAsia="Calibri"/>
                <w:b/>
                <w:sz w:val="24"/>
                <w:lang w:val="es-MX" w:eastAsia="en-US"/>
              </w:rPr>
              <w:t xml:space="preserve"> Bis A. Vigilar se prevenga, atienda y erradique la</w:t>
            </w:r>
            <w:r w:rsidRPr="002157E7">
              <w:rPr>
                <w:rFonts w:eastAsia="Calibri"/>
                <w:b/>
                <w:sz w:val="24"/>
                <w:lang w:val="es-MX" w:eastAsia="en-US"/>
              </w:rPr>
              <w:t xml:space="preserve"> </w:t>
            </w:r>
            <w:r w:rsidR="000D4BB6" w:rsidRPr="002157E7">
              <w:rPr>
                <w:rFonts w:eastAsia="Calibri"/>
                <w:b/>
                <w:sz w:val="24"/>
                <w:lang w:val="es-MX" w:eastAsia="en-US"/>
              </w:rPr>
              <w:t>violencia política contra las mujeres en razón de género;</w:t>
            </w:r>
          </w:p>
          <w:p w:rsidR="000D4BB6" w:rsidRPr="000D4BB6" w:rsidRDefault="000D4BB6" w:rsidP="000D4BB6">
            <w:pPr>
              <w:ind w:firstLine="0"/>
              <w:rPr>
                <w:rFonts w:eastAsia="Calibri"/>
                <w:sz w:val="24"/>
                <w:lang w:val="es-MX" w:eastAsia="en-US"/>
              </w:rPr>
            </w:pPr>
          </w:p>
          <w:p w:rsidR="000D4BB6" w:rsidRPr="000D4BB6" w:rsidRDefault="00A00382" w:rsidP="000D4BB6">
            <w:pPr>
              <w:ind w:firstLine="0"/>
              <w:rPr>
                <w:rFonts w:cs="Arial"/>
                <w:sz w:val="24"/>
                <w:lang w:val="es-ES_tradnl"/>
              </w:rPr>
            </w:pPr>
            <w:r>
              <w:rPr>
                <w:rFonts w:eastAsia="Calibri"/>
                <w:sz w:val="24"/>
                <w:lang w:val="es-MX" w:eastAsia="en-US"/>
              </w:rPr>
              <w:t>[…]</w:t>
            </w:r>
          </w:p>
        </w:tc>
      </w:tr>
    </w:tbl>
    <w:p w:rsidR="000D4BB6" w:rsidRDefault="000D4BB6" w:rsidP="00BE58BD">
      <w:pPr>
        <w:rPr>
          <w:rFonts w:cs="Arial"/>
          <w:szCs w:val="28"/>
        </w:rPr>
      </w:pPr>
    </w:p>
    <w:p w:rsidR="00C14722" w:rsidRDefault="002157E7" w:rsidP="00C14722">
      <w:pPr>
        <w:rPr>
          <w:rFonts w:cs="Arial"/>
          <w:szCs w:val="28"/>
        </w:rPr>
      </w:pPr>
      <w:r>
        <w:rPr>
          <w:rFonts w:cs="Arial"/>
          <w:szCs w:val="28"/>
        </w:rPr>
        <w:t xml:space="preserve">Asimismo, mediante el decreto 487 publicado en el Periódico Oficial del Estado de Sinaloa </w:t>
      </w:r>
      <w:r w:rsidR="00C9629E">
        <w:rPr>
          <w:rFonts w:cs="Arial"/>
          <w:szCs w:val="28"/>
        </w:rPr>
        <w:t xml:space="preserve">el once de septiembre de dos mil veinte, </w:t>
      </w:r>
      <w:r>
        <w:rPr>
          <w:rFonts w:cs="Arial"/>
          <w:szCs w:val="28"/>
        </w:rPr>
        <w:t xml:space="preserve">nuevamente fue reformado el artículo 146 de la </w:t>
      </w:r>
      <w:r w:rsidRPr="004A586A">
        <w:rPr>
          <w:rFonts w:cs="Arial"/>
          <w:szCs w:val="28"/>
        </w:rPr>
        <w:t>Ley de Instituciones y Procedimientos Electorales del Estado de Sinaloa</w:t>
      </w:r>
      <w:r w:rsidR="00C9629E">
        <w:rPr>
          <w:rFonts w:cs="Arial"/>
          <w:szCs w:val="28"/>
        </w:rPr>
        <w:t xml:space="preserve">, específicamente </w:t>
      </w:r>
      <w:r w:rsidR="00C9629E">
        <w:rPr>
          <w:rFonts w:cs="Arial"/>
          <w:szCs w:val="28"/>
        </w:rPr>
        <w:lastRenderedPageBreak/>
        <w:t>la fracción III</w:t>
      </w:r>
      <w:r>
        <w:rPr>
          <w:rFonts w:cs="Arial"/>
          <w:szCs w:val="28"/>
        </w:rPr>
        <w:t xml:space="preserve">. </w:t>
      </w:r>
      <w:r w:rsidR="00C14722">
        <w:rPr>
          <w:rFonts w:cs="Arial"/>
          <w:szCs w:val="28"/>
        </w:rPr>
        <w:t>Las disposiciones normativas impugnada y como producto de la reforma recién referida son del tenor siguiente</w:t>
      </w:r>
      <w:r w:rsidR="00AC3F45">
        <w:rPr>
          <w:rFonts w:cs="Arial"/>
          <w:szCs w:val="28"/>
        </w:rPr>
        <w:t>:</w:t>
      </w:r>
    </w:p>
    <w:p w:rsidR="00C9629E" w:rsidRDefault="00C9629E" w:rsidP="002157E7">
      <w:pPr>
        <w:rPr>
          <w:rFonts w:cs="Arial"/>
          <w:szCs w:val="28"/>
        </w:rPr>
      </w:pPr>
    </w:p>
    <w:tbl>
      <w:tblPr>
        <w:tblStyle w:val="Tablaconcuadrcula1"/>
        <w:tblW w:w="0" w:type="auto"/>
        <w:tblLook w:val="04A0" w:firstRow="1" w:lastRow="0" w:firstColumn="1" w:lastColumn="0" w:noHBand="0" w:noVBand="1"/>
      </w:tblPr>
      <w:tblGrid>
        <w:gridCol w:w="4290"/>
        <w:gridCol w:w="4254"/>
      </w:tblGrid>
      <w:tr w:rsidR="00C9629E" w:rsidRPr="000D4BB6" w:rsidTr="0055503B">
        <w:tc>
          <w:tcPr>
            <w:tcW w:w="4290" w:type="dxa"/>
            <w:shd w:val="clear" w:color="auto" w:fill="D9D9D9"/>
          </w:tcPr>
          <w:p w:rsidR="00C9629E" w:rsidRPr="000D4BB6" w:rsidRDefault="00C9629E" w:rsidP="0055503B">
            <w:pPr>
              <w:ind w:firstLine="0"/>
              <w:jc w:val="center"/>
              <w:rPr>
                <w:rFonts w:cs="Arial"/>
                <w:b/>
                <w:sz w:val="24"/>
                <w:lang w:val="es-ES_tradnl"/>
              </w:rPr>
            </w:pPr>
            <w:r w:rsidRPr="000D4BB6">
              <w:rPr>
                <w:rFonts w:cs="Arial"/>
                <w:b/>
                <w:sz w:val="24"/>
                <w:lang w:val="es-ES_tradnl"/>
              </w:rPr>
              <w:t xml:space="preserve">Texto del artículo </w:t>
            </w:r>
            <w:r>
              <w:rPr>
                <w:rFonts w:cs="Arial"/>
                <w:b/>
                <w:sz w:val="24"/>
                <w:lang w:val="es-ES_tradnl"/>
              </w:rPr>
              <w:t>impugnado</w:t>
            </w:r>
          </w:p>
        </w:tc>
        <w:tc>
          <w:tcPr>
            <w:tcW w:w="4254" w:type="dxa"/>
            <w:shd w:val="clear" w:color="auto" w:fill="D9D9D9"/>
          </w:tcPr>
          <w:p w:rsidR="00C9629E" w:rsidRPr="000D4BB6" w:rsidRDefault="00C9629E" w:rsidP="0055503B">
            <w:pPr>
              <w:ind w:firstLine="0"/>
              <w:jc w:val="center"/>
              <w:rPr>
                <w:rFonts w:cs="Arial"/>
                <w:b/>
                <w:sz w:val="24"/>
                <w:lang w:val="es-ES_tradnl"/>
              </w:rPr>
            </w:pPr>
            <w:r w:rsidRPr="000D4BB6">
              <w:rPr>
                <w:rFonts w:cs="Arial"/>
                <w:b/>
                <w:sz w:val="24"/>
                <w:lang w:val="es-ES_tradnl"/>
              </w:rPr>
              <w:t>Texto del artículo reformado</w:t>
            </w:r>
            <w:r w:rsidR="00F120B5">
              <w:rPr>
                <w:rFonts w:cs="Arial"/>
                <w:b/>
                <w:sz w:val="24"/>
                <w:lang w:val="es-ES_tradnl"/>
              </w:rPr>
              <w:t xml:space="preserve"> mediante el decreto 487</w:t>
            </w:r>
          </w:p>
        </w:tc>
      </w:tr>
      <w:tr w:rsidR="00C9629E" w:rsidRPr="000D4BB6" w:rsidTr="0055503B">
        <w:tc>
          <w:tcPr>
            <w:tcW w:w="4290" w:type="dxa"/>
          </w:tcPr>
          <w:p w:rsidR="00C9629E" w:rsidRPr="000D4BB6" w:rsidRDefault="00C9629E" w:rsidP="0055503B">
            <w:pPr>
              <w:ind w:firstLine="0"/>
              <w:rPr>
                <w:rFonts w:eastAsia="Calibri"/>
                <w:sz w:val="24"/>
                <w:lang w:val="es-MX" w:eastAsia="en-US"/>
              </w:rPr>
            </w:pPr>
            <w:r w:rsidRPr="000D4BB6">
              <w:rPr>
                <w:rFonts w:eastAsia="Calibri"/>
                <w:sz w:val="24"/>
                <w:lang w:val="es-MX" w:eastAsia="en-US"/>
              </w:rPr>
              <w:t>Artículo 146. Son atribuciones del Consejo General, las siguientes:</w:t>
            </w:r>
          </w:p>
          <w:p w:rsidR="00C9629E" w:rsidRPr="000D4BB6" w:rsidRDefault="00C9629E" w:rsidP="0055503B">
            <w:pPr>
              <w:ind w:firstLine="0"/>
              <w:rPr>
                <w:rFonts w:eastAsia="Calibri"/>
                <w:sz w:val="24"/>
                <w:lang w:val="es-MX" w:eastAsia="en-US"/>
              </w:rPr>
            </w:pPr>
          </w:p>
          <w:p w:rsidR="00C9629E" w:rsidRPr="000D4BB6" w:rsidRDefault="00942DF2" w:rsidP="0055503B">
            <w:pPr>
              <w:ind w:firstLine="0"/>
              <w:rPr>
                <w:rFonts w:eastAsia="Calibri"/>
                <w:sz w:val="24"/>
                <w:lang w:val="es-MX" w:eastAsia="en-US"/>
              </w:rPr>
            </w:pPr>
            <w:r>
              <w:rPr>
                <w:rFonts w:eastAsia="Calibri"/>
                <w:sz w:val="24"/>
                <w:lang w:val="es-MX" w:eastAsia="en-US"/>
              </w:rPr>
              <w:t>[…]</w:t>
            </w:r>
          </w:p>
          <w:p w:rsidR="00C9629E" w:rsidRPr="000D4BB6" w:rsidRDefault="00C9629E" w:rsidP="0055503B">
            <w:pPr>
              <w:ind w:firstLine="0"/>
              <w:rPr>
                <w:rFonts w:eastAsia="Calibri"/>
                <w:sz w:val="24"/>
                <w:lang w:val="es-MX" w:eastAsia="en-US"/>
              </w:rPr>
            </w:pPr>
          </w:p>
          <w:p w:rsidR="00C9629E" w:rsidRPr="00F120B5" w:rsidRDefault="00C9629E" w:rsidP="0055503B">
            <w:pPr>
              <w:ind w:firstLine="0"/>
              <w:rPr>
                <w:rFonts w:eastAsia="Calibri"/>
                <w:b/>
                <w:sz w:val="24"/>
                <w:lang w:val="es-MX" w:eastAsia="en-US"/>
              </w:rPr>
            </w:pPr>
            <w:r w:rsidRPr="00F120B5">
              <w:rPr>
                <w:rFonts w:eastAsia="Calibri"/>
                <w:b/>
                <w:sz w:val="24"/>
                <w:lang w:val="es-MX" w:eastAsia="en-US"/>
              </w:rPr>
              <w:t>III. Designar durante la primera quincena del mes de noviembre del año previo al de la elección, al Presidente y consejeros electorales que integren los Consejos Distritales y a los integrantes de los Consejos Municipales con base en los lineamientos respectivos;</w:t>
            </w:r>
          </w:p>
          <w:p w:rsidR="00C9629E" w:rsidRPr="00F120B5" w:rsidRDefault="00C9629E" w:rsidP="0055503B">
            <w:pPr>
              <w:ind w:firstLine="0"/>
              <w:rPr>
                <w:rFonts w:eastAsia="Calibri"/>
                <w:b/>
                <w:sz w:val="24"/>
                <w:lang w:val="es-MX" w:eastAsia="en-US"/>
              </w:rPr>
            </w:pPr>
          </w:p>
          <w:p w:rsidR="00C9629E" w:rsidRPr="00F120B5" w:rsidRDefault="00C9629E" w:rsidP="0055503B">
            <w:pPr>
              <w:ind w:firstLine="0"/>
              <w:rPr>
                <w:rFonts w:eastAsia="Calibri"/>
                <w:b/>
                <w:sz w:val="24"/>
                <w:lang w:val="es-MX" w:eastAsia="en-US"/>
              </w:rPr>
            </w:pPr>
            <w:r w:rsidRPr="00F120B5">
              <w:rPr>
                <w:rFonts w:eastAsia="Calibri"/>
                <w:b/>
                <w:sz w:val="24"/>
                <w:lang w:val="es-MX" w:eastAsia="en-US"/>
              </w:rPr>
              <w:t>IV. Recibir y autorizar el registro de los Partidos Políticos nacionales, para participar en los procesos electorales locales;</w:t>
            </w:r>
          </w:p>
          <w:p w:rsidR="00C9629E" w:rsidRPr="000D4BB6" w:rsidRDefault="00C9629E" w:rsidP="0055503B">
            <w:pPr>
              <w:ind w:firstLine="0"/>
              <w:rPr>
                <w:rFonts w:eastAsia="Calibri"/>
                <w:sz w:val="24"/>
                <w:lang w:val="es-MX" w:eastAsia="en-US"/>
              </w:rPr>
            </w:pPr>
          </w:p>
          <w:p w:rsidR="00C9629E" w:rsidRDefault="00942DF2" w:rsidP="0055503B">
            <w:pPr>
              <w:ind w:firstLine="0"/>
              <w:rPr>
                <w:rFonts w:eastAsia="Calibri"/>
                <w:sz w:val="24"/>
                <w:lang w:val="es-MX" w:eastAsia="en-US"/>
              </w:rPr>
            </w:pPr>
            <w:r>
              <w:rPr>
                <w:rFonts w:eastAsia="Calibri"/>
                <w:sz w:val="24"/>
                <w:lang w:val="es-MX" w:eastAsia="en-US"/>
              </w:rPr>
              <w:t>[…]</w:t>
            </w:r>
          </w:p>
          <w:p w:rsidR="00C9629E" w:rsidRDefault="00C9629E" w:rsidP="0055503B">
            <w:pPr>
              <w:ind w:firstLine="0"/>
              <w:rPr>
                <w:rFonts w:eastAsia="Calibri"/>
                <w:sz w:val="24"/>
                <w:lang w:val="es-MX" w:eastAsia="en-US"/>
              </w:rPr>
            </w:pPr>
          </w:p>
          <w:p w:rsidR="00C9629E" w:rsidRPr="000D4BB6" w:rsidRDefault="00C9629E" w:rsidP="0055503B">
            <w:pPr>
              <w:ind w:firstLine="0"/>
              <w:rPr>
                <w:rFonts w:eastAsia="Calibri"/>
                <w:b/>
                <w:sz w:val="24"/>
                <w:lang w:val="es-MX" w:eastAsia="en-US"/>
              </w:rPr>
            </w:pPr>
            <w:r w:rsidRPr="000D4BB6">
              <w:rPr>
                <w:rFonts w:eastAsia="Calibri"/>
                <w:b/>
                <w:sz w:val="24"/>
                <w:lang w:val="es-MX" w:eastAsia="en-US"/>
              </w:rPr>
              <w:t>XXIV Bis. Recibir supletoriamente las manifestaciones de intención de ciudadanos que pretendan postularse como candidatos independientes a los cargos de Diputados, Presidente municipal, Síndico Procurador y Regidurías por el sistema de mayoría relativa; acreditar a los aspirantes que hayan cumplido con los requisitos; así como recibir y resolver las solicitudes de registro de fórmulas de candidatos independientes a dichos cargos</w:t>
            </w:r>
            <w:r w:rsidR="008246A3">
              <w:rPr>
                <w:rFonts w:eastAsia="Calibri"/>
                <w:b/>
                <w:sz w:val="24"/>
                <w:lang w:val="es-MX" w:eastAsia="en-US"/>
              </w:rPr>
              <w:t>;</w:t>
            </w:r>
          </w:p>
          <w:p w:rsidR="00C9629E" w:rsidRPr="000D4BB6" w:rsidRDefault="00C9629E" w:rsidP="0055503B">
            <w:pPr>
              <w:ind w:firstLine="0"/>
              <w:rPr>
                <w:rFonts w:eastAsia="Calibri"/>
                <w:sz w:val="24"/>
                <w:lang w:val="es-MX" w:eastAsia="en-US"/>
              </w:rPr>
            </w:pPr>
          </w:p>
          <w:p w:rsidR="00C9629E" w:rsidRPr="000D4BB6" w:rsidRDefault="00942DF2" w:rsidP="0055503B">
            <w:pPr>
              <w:ind w:firstLine="0"/>
              <w:rPr>
                <w:rFonts w:eastAsia="Calibri"/>
                <w:b/>
                <w:sz w:val="24"/>
                <w:lang w:val="es-MX" w:eastAsia="en-US"/>
              </w:rPr>
            </w:pPr>
            <w:r>
              <w:rPr>
                <w:rFonts w:eastAsia="Calibri"/>
                <w:sz w:val="24"/>
                <w:lang w:val="es-MX" w:eastAsia="en-US"/>
              </w:rPr>
              <w:t>[…]</w:t>
            </w:r>
          </w:p>
        </w:tc>
        <w:tc>
          <w:tcPr>
            <w:tcW w:w="4254" w:type="dxa"/>
          </w:tcPr>
          <w:p w:rsidR="00C9629E" w:rsidRPr="000D4BB6" w:rsidRDefault="00C9629E" w:rsidP="0055503B">
            <w:pPr>
              <w:ind w:firstLine="0"/>
              <w:rPr>
                <w:rFonts w:eastAsia="Calibri"/>
                <w:sz w:val="24"/>
                <w:lang w:val="es-MX" w:eastAsia="en-US"/>
              </w:rPr>
            </w:pPr>
            <w:r w:rsidRPr="000D4BB6">
              <w:rPr>
                <w:rFonts w:eastAsia="Calibri"/>
                <w:sz w:val="24"/>
                <w:lang w:val="es-MX" w:eastAsia="en-US"/>
              </w:rPr>
              <w:t>Artículo 146. Son atribuciones del Consejo General, las siguientes:</w:t>
            </w:r>
          </w:p>
          <w:p w:rsidR="00C9629E" w:rsidRPr="000D4BB6" w:rsidRDefault="00C9629E" w:rsidP="0055503B">
            <w:pPr>
              <w:ind w:firstLine="0"/>
              <w:rPr>
                <w:rFonts w:eastAsia="Calibri"/>
                <w:sz w:val="24"/>
                <w:lang w:val="es-MX" w:eastAsia="en-US"/>
              </w:rPr>
            </w:pPr>
          </w:p>
          <w:p w:rsidR="00C9629E" w:rsidRPr="000D4BB6" w:rsidRDefault="00942DF2" w:rsidP="0055503B">
            <w:pPr>
              <w:ind w:firstLine="0"/>
              <w:rPr>
                <w:rFonts w:eastAsia="Calibri"/>
                <w:sz w:val="24"/>
                <w:lang w:val="es-MX" w:eastAsia="en-US"/>
              </w:rPr>
            </w:pPr>
            <w:r>
              <w:rPr>
                <w:rFonts w:eastAsia="Calibri"/>
                <w:sz w:val="24"/>
                <w:lang w:val="es-MX" w:eastAsia="en-US"/>
              </w:rPr>
              <w:t>[…]</w:t>
            </w:r>
          </w:p>
          <w:p w:rsidR="00C9629E" w:rsidRPr="000D4BB6" w:rsidRDefault="00C9629E" w:rsidP="0055503B">
            <w:pPr>
              <w:ind w:firstLine="0"/>
              <w:rPr>
                <w:rFonts w:eastAsia="Calibri"/>
                <w:sz w:val="24"/>
                <w:lang w:val="es-MX" w:eastAsia="en-US"/>
              </w:rPr>
            </w:pPr>
          </w:p>
          <w:p w:rsidR="00C9629E" w:rsidRPr="00C9629E" w:rsidRDefault="00C9629E" w:rsidP="00C9629E">
            <w:pPr>
              <w:ind w:firstLine="0"/>
              <w:rPr>
                <w:rFonts w:eastAsia="Calibri"/>
                <w:b/>
                <w:sz w:val="24"/>
                <w:lang w:val="es-MX" w:eastAsia="en-US"/>
              </w:rPr>
            </w:pPr>
            <w:r w:rsidRPr="00C9629E">
              <w:rPr>
                <w:rFonts w:eastAsia="Calibri"/>
                <w:b/>
                <w:sz w:val="24"/>
                <w:lang w:val="es-MX" w:eastAsia="en-US"/>
              </w:rPr>
              <w:t>IIl. Designar durante la primera quincena del mes de enero del año de la elección, al Presidente y consejeros</w:t>
            </w:r>
            <w:r>
              <w:rPr>
                <w:rFonts w:eastAsia="Calibri"/>
                <w:b/>
                <w:sz w:val="24"/>
                <w:lang w:val="es-MX" w:eastAsia="en-US"/>
              </w:rPr>
              <w:t xml:space="preserve"> </w:t>
            </w:r>
            <w:r w:rsidRPr="00C9629E">
              <w:rPr>
                <w:rFonts w:eastAsia="Calibri"/>
                <w:b/>
                <w:sz w:val="24"/>
                <w:lang w:val="es-MX" w:eastAsia="en-US"/>
              </w:rPr>
              <w:t>electorales que integren los Consejos Distritales y a los integrantes de los Consejos Municipales con base en los</w:t>
            </w:r>
            <w:r>
              <w:rPr>
                <w:rFonts w:eastAsia="Calibri"/>
                <w:b/>
                <w:sz w:val="24"/>
                <w:lang w:val="es-MX" w:eastAsia="en-US"/>
              </w:rPr>
              <w:t xml:space="preserve"> </w:t>
            </w:r>
            <w:r w:rsidRPr="00C9629E">
              <w:rPr>
                <w:rFonts w:eastAsia="Calibri"/>
                <w:b/>
                <w:sz w:val="24"/>
                <w:lang w:val="es-MX" w:eastAsia="en-US"/>
              </w:rPr>
              <w:t xml:space="preserve">lineamientos respectivos y el principio de paridad de género; </w:t>
            </w:r>
          </w:p>
          <w:p w:rsidR="00C9629E" w:rsidRPr="000D4BB6" w:rsidRDefault="00C9629E" w:rsidP="00C9629E">
            <w:pPr>
              <w:ind w:firstLine="0"/>
              <w:rPr>
                <w:rFonts w:eastAsia="Calibri"/>
                <w:sz w:val="24"/>
                <w:lang w:val="es-MX" w:eastAsia="en-US"/>
              </w:rPr>
            </w:pPr>
          </w:p>
          <w:p w:rsidR="00C9629E" w:rsidRPr="000D4BB6" w:rsidRDefault="00942DF2" w:rsidP="0055503B">
            <w:pPr>
              <w:ind w:firstLine="0"/>
              <w:rPr>
                <w:rFonts w:cs="Arial"/>
                <w:sz w:val="24"/>
                <w:lang w:val="es-ES_tradnl"/>
              </w:rPr>
            </w:pPr>
            <w:r>
              <w:rPr>
                <w:rFonts w:eastAsia="Calibri"/>
                <w:sz w:val="24"/>
                <w:lang w:val="es-MX" w:eastAsia="en-US"/>
              </w:rPr>
              <w:t>[…]</w:t>
            </w:r>
          </w:p>
        </w:tc>
      </w:tr>
    </w:tbl>
    <w:p w:rsidR="00C9629E" w:rsidRDefault="00C9629E" w:rsidP="002157E7">
      <w:pPr>
        <w:rPr>
          <w:rFonts w:cs="Arial"/>
          <w:szCs w:val="28"/>
        </w:rPr>
      </w:pPr>
    </w:p>
    <w:p w:rsidR="00C14722" w:rsidRDefault="00C9629E" w:rsidP="00C14722">
      <w:pPr>
        <w:rPr>
          <w:rFonts w:cs="Arial"/>
          <w:szCs w:val="28"/>
        </w:rPr>
      </w:pPr>
      <w:r>
        <w:rPr>
          <w:rFonts w:cs="Arial"/>
          <w:szCs w:val="28"/>
        </w:rPr>
        <w:t xml:space="preserve">Aunado a lo anterior, mediante el decreto 505 publicado en el Periódico Oficial del Estado de Sinaloa el catorce de septiembre de dos mil veinte, de nueva cuenta fue reformada la fracción III del el artículo 146 de la </w:t>
      </w:r>
      <w:r w:rsidRPr="004A586A">
        <w:rPr>
          <w:rFonts w:cs="Arial"/>
          <w:szCs w:val="28"/>
        </w:rPr>
        <w:t xml:space="preserve">Ley de Instituciones y Procedimientos Electorales </w:t>
      </w:r>
      <w:r w:rsidRPr="004A586A">
        <w:rPr>
          <w:rFonts w:cs="Arial"/>
          <w:szCs w:val="28"/>
        </w:rPr>
        <w:lastRenderedPageBreak/>
        <w:t>del Estado de Sinaloa</w:t>
      </w:r>
      <w:r>
        <w:rPr>
          <w:rFonts w:cs="Arial"/>
          <w:szCs w:val="28"/>
        </w:rPr>
        <w:t xml:space="preserve">. </w:t>
      </w:r>
      <w:r w:rsidR="00C14722">
        <w:rPr>
          <w:rFonts w:cs="Arial"/>
          <w:szCs w:val="28"/>
        </w:rPr>
        <w:t>Las disposiciones normativas impugnada y como producto de la reforma recién referida son del tenor siguiente</w:t>
      </w:r>
      <w:r w:rsidR="00162519">
        <w:rPr>
          <w:rFonts w:cs="Arial"/>
          <w:szCs w:val="28"/>
        </w:rPr>
        <w:t>:</w:t>
      </w:r>
    </w:p>
    <w:p w:rsidR="004A586A" w:rsidRPr="004A586A" w:rsidRDefault="004A586A" w:rsidP="00BE58BD">
      <w:pPr>
        <w:rPr>
          <w:rFonts w:cs="Arial"/>
          <w:szCs w:val="28"/>
        </w:rPr>
      </w:pPr>
    </w:p>
    <w:tbl>
      <w:tblPr>
        <w:tblStyle w:val="Tablaconcuadrcula1"/>
        <w:tblW w:w="0" w:type="auto"/>
        <w:tblLook w:val="04A0" w:firstRow="1" w:lastRow="0" w:firstColumn="1" w:lastColumn="0" w:noHBand="0" w:noVBand="1"/>
      </w:tblPr>
      <w:tblGrid>
        <w:gridCol w:w="4290"/>
        <w:gridCol w:w="4254"/>
      </w:tblGrid>
      <w:tr w:rsidR="00C9629E" w:rsidRPr="000D4BB6" w:rsidTr="0055503B">
        <w:tc>
          <w:tcPr>
            <w:tcW w:w="4290" w:type="dxa"/>
            <w:shd w:val="clear" w:color="auto" w:fill="D9D9D9"/>
          </w:tcPr>
          <w:p w:rsidR="00C9629E" w:rsidRPr="000D4BB6" w:rsidRDefault="00C9629E" w:rsidP="0055503B">
            <w:pPr>
              <w:ind w:firstLine="0"/>
              <w:jc w:val="center"/>
              <w:rPr>
                <w:rFonts w:cs="Arial"/>
                <w:b/>
                <w:sz w:val="24"/>
                <w:lang w:val="es-ES_tradnl"/>
              </w:rPr>
            </w:pPr>
            <w:r w:rsidRPr="000D4BB6">
              <w:rPr>
                <w:rFonts w:cs="Arial"/>
                <w:b/>
                <w:sz w:val="24"/>
                <w:lang w:val="es-ES_tradnl"/>
              </w:rPr>
              <w:t xml:space="preserve">Texto del artículo </w:t>
            </w:r>
            <w:r>
              <w:rPr>
                <w:rFonts w:cs="Arial"/>
                <w:b/>
                <w:sz w:val="24"/>
                <w:lang w:val="es-ES_tradnl"/>
              </w:rPr>
              <w:t>impugnado</w:t>
            </w:r>
          </w:p>
        </w:tc>
        <w:tc>
          <w:tcPr>
            <w:tcW w:w="4254" w:type="dxa"/>
            <w:shd w:val="clear" w:color="auto" w:fill="D9D9D9"/>
          </w:tcPr>
          <w:p w:rsidR="00C9629E" w:rsidRPr="000D4BB6" w:rsidRDefault="00C9629E" w:rsidP="0055503B">
            <w:pPr>
              <w:ind w:firstLine="0"/>
              <w:jc w:val="center"/>
              <w:rPr>
                <w:rFonts w:cs="Arial"/>
                <w:b/>
                <w:sz w:val="24"/>
                <w:lang w:val="es-ES_tradnl"/>
              </w:rPr>
            </w:pPr>
            <w:r w:rsidRPr="000D4BB6">
              <w:rPr>
                <w:rFonts w:cs="Arial"/>
                <w:b/>
                <w:sz w:val="24"/>
                <w:lang w:val="es-ES_tradnl"/>
              </w:rPr>
              <w:t>Texto del artículo reformado</w:t>
            </w:r>
            <w:r w:rsidR="00F120B5">
              <w:rPr>
                <w:rFonts w:cs="Arial"/>
                <w:b/>
                <w:sz w:val="24"/>
                <w:lang w:val="es-ES_tradnl"/>
              </w:rPr>
              <w:t xml:space="preserve"> mediante el decreto 50</w:t>
            </w:r>
            <w:r>
              <w:rPr>
                <w:rFonts w:cs="Arial"/>
                <w:b/>
                <w:sz w:val="24"/>
                <w:lang w:val="es-ES_tradnl"/>
              </w:rPr>
              <w:t>5</w:t>
            </w:r>
          </w:p>
        </w:tc>
      </w:tr>
      <w:tr w:rsidR="00C9629E" w:rsidRPr="000D4BB6" w:rsidTr="0055503B">
        <w:tc>
          <w:tcPr>
            <w:tcW w:w="4290" w:type="dxa"/>
          </w:tcPr>
          <w:p w:rsidR="00C9629E" w:rsidRPr="000D4BB6" w:rsidRDefault="00C9629E" w:rsidP="0055503B">
            <w:pPr>
              <w:ind w:firstLine="0"/>
              <w:rPr>
                <w:rFonts w:eastAsia="Calibri"/>
                <w:sz w:val="24"/>
                <w:lang w:val="es-MX" w:eastAsia="en-US"/>
              </w:rPr>
            </w:pPr>
            <w:r w:rsidRPr="000D4BB6">
              <w:rPr>
                <w:rFonts w:eastAsia="Calibri"/>
                <w:sz w:val="24"/>
                <w:lang w:val="es-MX" w:eastAsia="en-US"/>
              </w:rPr>
              <w:t>Artículo 146. Son atribuciones del Consejo General, las siguientes:</w:t>
            </w:r>
          </w:p>
          <w:p w:rsidR="00C9629E" w:rsidRPr="000D4BB6" w:rsidRDefault="00C9629E" w:rsidP="0055503B">
            <w:pPr>
              <w:ind w:firstLine="0"/>
              <w:rPr>
                <w:rFonts w:eastAsia="Calibri"/>
                <w:sz w:val="24"/>
                <w:lang w:val="es-MX" w:eastAsia="en-US"/>
              </w:rPr>
            </w:pPr>
          </w:p>
          <w:p w:rsidR="00C9629E" w:rsidRPr="000D4BB6" w:rsidRDefault="00942DF2" w:rsidP="0055503B">
            <w:pPr>
              <w:ind w:firstLine="0"/>
              <w:rPr>
                <w:rFonts w:eastAsia="Calibri"/>
                <w:sz w:val="24"/>
                <w:lang w:val="es-MX" w:eastAsia="en-US"/>
              </w:rPr>
            </w:pPr>
            <w:r>
              <w:rPr>
                <w:rFonts w:eastAsia="Calibri"/>
                <w:sz w:val="24"/>
                <w:lang w:val="es-MX" w:eastAsia="en-US"/>
              </w:rPr>
              <w:t>[…]</w:t>
            </w:r>
          </w:p>
          <w:p w:rsidR="00C9629E" w:rsidRPr="000D4BB6" w:rsidRDefault="00C9629E" w:rsidP="0055503B">
            <w:pPr>
              <w:ind w:firstLine="0"/>
              <w:rPr>
                <w:rFonts w:eastAsia="Calibri"/>
                <w:sz w:val="24"/>
                <w:lang w:val="es-MX" w:eastAsia="en-US"/>
              </w:rPr>
            </w:pPr>
          </w:p>
          <w:p w:rsidR="00C9629E" w:rsidRPr="00F120B5" w:rsidRDefault="00C9629E" w:rsidP="0055503B">
            <w:pPr>
              <w:ind w:firstLine="0"/>
              <w:rPr>
                <w:rFonts w:eastAsia="Calibri"/>
                <w:b/>
                <w:sz w:val="24"/>
                <w:lang w:val="es-MX" w:eastAsia="en-US"/>
              </w:rPr>
            </w:pPr>
            <w:r w:rsidRPr="00F120B5">
              <w:rPr>
                <w:rFonts w:eastAsia="Calibri"/>
                <w:b/>
                <w:sz w:val="24"/>
                <w:lang w:val="es-MX" w:eastAsia="en-US"/>
              </w:rPr>
              <w:t>III. Designar durante la primera quincena del mes de noviembre del año previo al de la elección, al Presidente y consejeros electorales que integren los Consejos Distritales y a los integrantes de los Consejos Municipales con base en los lineamientos respectivos;</w:t>
            </w:r>
          </w:p>
          <w:p w:rsidR="00C9629E" w:rsidRPr="00F120B5" w:rsidRDefault="00C9629E" w:rsidP="0055503B">
            <w:pPr>
              <w:ind w:firstLine="0"/>
              <w:rPr>
                <w:rFonts w:eastAsia="Calibri"/>
                <w:b/>
                <w:sz w:val="24"/>
                <w:lang w:val="es-MX" w:eastAsia="en-US"/>
              </w:rPr>
            </w:pPr>
          </w:p>
          <w:p w:rsidR="00C9629E" w:rsidRPr="00F120B5" w:rsidRDefault="00C9629E" w:rsidP="0055503B">
            <w:pPr>
              <w:ind w:firstLine="0"/>
              <w:rPr>
                <w:rFonts w:eastAsia="Calibri"/>
                <w:b/>
                <w:sz w:val="24"/>
                <w:lang w:val="es-MX" w:eastAsia="en-US"/>
              </w:rPr>
            </w:pPr>
            <w:r w:rsidRPr="00F120B5">
              <w:rPr>
                <w:rFonts w:eastAsia="Calibri"/>
                <w:b/>
                <w:sz w:val="24"/>
                <w:lang w:val="es-MX" w:eastAsia="en-US"/>
              </w:rPr>
              <w:t>IV. Recibir y autorizar el registro de los Partidos Políticos nacionales, para participar en los procesos electorales locales;</w:t>
            </w:r>
          </w:p>
          <w:p w:rsidR="00C9629E" w:rsidRPr="000D4BB6" w:rsidRDefault="00C9629E" w:rsidP="0055503B">
            <w:pPr>
              <w:ind w:firstLine="0"/>
              <w:rPr>
                <w:rFonts w:eastAsia="Calibri"/>
                <w:sz w:val="24"/>
                <w:lang w:val="es-MX" w:eastAsia="en-US"/>
              </w:rPr>
            </w:pPr>
          </w:p>
          <w:p w:rsidR="00C9629E" w:rsidRDefault="00942DF2" w:rsidP="0055503B">
            <w:pPr>
              <w:ind w:firstLine="0"/>
              <w:rPr>
                <w:rFonts w:eastAsia="Calibri"/>
                <w:sz w:val="24"/>
                <w:lang w:val="es-MX" w:eastAsia="en-US"/>
              </w:rPr>
            </w:pPr>
            <w:r>
              <w:rPr>
                <w:rFonts w:eastAsia="Calibri"/>
                <w:sz w:val="24"/>
                <w:lang w:val="es-MX" w:eastAsia="en-US"/>
              </w:rPr>
              <w:t>[…]</w:t>
            </w:r>
          </w:p>
          <w:p w:rsidR="00942DF2" w:rsidRDefault="00942DF2" w:rsidP="0055503B">
            <w:pPr>
              <w:ind w:firstLine="0"/>
              <w:rPr>
                <w:rFonts w:eastAsia="Calibri"/>
                <w:sz w:val="24"/>
                <w:lang w:val="es-MX" w:eastAsia="en-US"/>
              </w:rPr>
            </w:pPr>
          </w:p>
          <w:p w:rsidR="00C9629E" w:rsidRPr="00F120B5" w:rsidRDefault="00C9629E" w:rsidP="0055503B">
            <w:pPr>
              <w:ind w:firstLine="0"/>
              <w:rPr>
                <w:rFonts w:eastAsia="Calibri"/>
                <w:b/>
                <w:sz w:val="24"/>
                <w:lang w:val="es-MX" w:eastAsia="en-US"/>
              </w:rPr>
            </w:pPr>
            <w:r w:rsidRPr="00F120B5">
              <w:rPr>
                <w:rFonts w:eastAsia="Calibri"/>
                <w:b/>
                <w:sz w:val="24"/>
                <w:lang w:val="es-MX" w:eastAsia="en-US"/>
              </w:rPr>
              <w:t>XXIV Bis. Recibir supletoriamente las manifestaciones de intención de ciudadanos que pretendan postularse como candidatos independientes a los cargos de Diputados, Presidente municipal, Síndico Procurador y Regidurías por el sistema de mayoría relativa; acreditar a los aspirantes que hayan cumplido con los requisitos; así como recibir y resolver las solicitudes de registro de fórmulas de candidatos independientes a dichos cargos</w:t>
            </w:r>
            <w:r w:rsidR="008246A3">
              <w:rPr>
                <w:rFonts w:eastAsia="Calibri"/>
                <w:b/>
                <w:sz w:val="24"/>
                <w:lang w:val="es-MX" w:eastAsia="en-US"/>
              </w:rPr>
              <w:t>;</w:t>
            </w:r>
          </w:p>
          <w:p w:rsidR="00C9629E" w:rsidRPr="000D4BB6" w:rsidRDefault="00C9629E" w:rsidP="0055503B">
            <w:pPr>
              <w:ind w:firstLine="0"/>
              <w:rPr>
                <w:rFonts w:eastAsia="Calibri"/>
                <w:sz w:val="24"/>
                <w:lang w:val="es-MX" w:eastAsia="en-US"/>
              </w:rPr>
            </w:pPr>
          </w:p>
          <w:p w:rsidR="00C9629E" w:rsidRPr="000D4BB6" w:rsidRDefault="008246A3" w:rsidP="0055503B">
            <w:pPr>
              <w:ind w:firstLine="0"/>
              <w:rPr>
                <w:rFonts w:eastAsia="Calibri"/>
                <w:b/>
                <w:sz w:val="24"/>
                <w:lang w:val="es-MX" w:eastAsia="en-US"/>
              </w:rPr>
            </w:pPr>
            <w:r>
              <w:rPr>
                <w:rFonts w:eastAsia="Calibri"/>
                <w:sz w:val="24"/>
                <w:lang w:val="es-MX" w:eastAsia="en-US"/>
              </w:rPr>
              <w:t>[…]</w:t>
            </w:r>
          </w:p>
        </w:tc>
        <w:tc>
          <w:tcPr>
            <w:tcW w:w="4254" w:type="dxa"/>
          </w:tcPr>
          <w:p w:rsidR="00C9629E" w:rsidRPr="000D4BB6" w:rsidRDefault="00C9629E" w:rsidP="0055503B">
            <w:pPr>
              <w:ind w:firstLine="0"/>
              <w:rPr>
                <w:rFonts w:eastAsia="Calibri"/>
                <w:sz w:val="24"/>
                <w:lang w:val="es-MX" w:eastAsia="en-US"/>
              </w:rPr>
            </w:pPr>
            <w:r w:rsidRPr="000D4BB6">
              <w:rPr>
                <w:rFonts w:eastAsia="Calibri"/>
                <w:sz w:val="24"/>
                <w:lang w:val="es-MX" w:eastAsia="en-US"/>
              </w:rPr>
              <w:t>Artículo 146. Son atribuciones del Consejo General, las siguientes:</w:t>
            </w:r>
          </w:p>
          <w:p w:rsidR="00C9629E" w:rsidRPr="000D4BB6" w:rsidRDefault="00C9629E" w:rsidP="0055503B">
            <w:pPr>
              <w:ind w:firstLine="0"/>
              <w:rPr>
                <w:rFonts w:eastAsia="Calibri"/>
                <w:sz w:val="24"/>
                <w:lang w:val="es-MX" w:eastAsia="en-US"/>
              </w:rPr>
            </w:pPr>
          </w:p>
          <w:p w:rsidR="00C9629E" w:rsidRDefault="00942DF2" w:rsidP="0055503B">
            <w:pPr>
              <w:ind w:firstLine="0"/>
              <w:rPr>
                <w:rFonts w:eastAsia="Calibri"/>
                <w:sz w:val="24"/>
                <w:lang w:val="es-MX" w:eastAsia="en-US"/>
              </w:rPr>
            </w:pPr>
            <w:r>
              <w:rPr>
                <w:rFonts w:eastAsia="Calibri"/>
                <w:sz w:val="24"/>
                <w:lang w:val="es-MX" w:eastAsia="en-US"/>
              </w:rPr>
              <w:t>[…]</w:t>
            </w:r>
          </w:p>
          <w:p w:rsidR="00942DF2" w:rsidRPr="000D4BB6" w:rsidRDefault="00942DF2" w:rsidP="0055503B">
            <w:pPr>
              <w:ind w:firstLine="0"/>
              <w:rPr>
                <w:rFonts w:eastAsia="Calibri"/>
                <w:sz w:val="24"/>
                <w:lang w:val="es-MX" w:eastAsia="en-US"/>
              </w:rPr>
            </w:pPr>
          </w:p>
          <w:p w:rsidR="00C9629E" w:rsidRPr="00C9629E" w:rsidRDefault="00C9629E" w:rsidP="00C9629E">
            <w:pPr>
              <w:ind w:firstLine="0"/>
              <w:rPr>
                <w:rFonts w:eastAsia="Calibri"/>
                <w:b/>
                <w:sz w:val="24"/>
                <w:lang w:val="es-MX" w:eastAsia="en-US"/>
              </w:rPr>
            </w:pPr>
            <w:r w:rsidRPr="00C9629E">
              <w:rPr>
                <w:rFonts w:eastAsia="Calibri"/>
                <w:b/>
                <w:sz w:val="24"/>
                <w:lang w:val="es-MX" w:eastAsia="en-US"/>
              </w:rPr>
              <w:t>IIl. Designar durante la primera qu</w:t>
            </w:r>
            <w:r>
              <w:rPr>
                <w:rFonts w:eastAsia="Calibri"/>
                <w:b/>
                <w:sz w:val="24"/>
                <w:lang w:val="es-MX" w:eastAsia="en-US"/>
              </w:rPr>
              <w:t xml:space="preserve">incena del mes de enero del año </w:t>
            </w:r>
            <w:r w:rsidRPr="00C9629E">
              <w:rPr>
                <w:rFonts w:eastAsia="Calibri"/>
                <w:b/>
                <w:sz w:val="24"/>
                <w:lang w:val="es-MX" w:eastAsia="en-US"/>
              </w:rPr>
              <w:t>de la elección, a la Presidenta o Pr</w:t>
            </w:r>
            <w:r>
              <w:rPr>
                <w:rFonts w:eastAsia="Calibri"/>
                <w:b/>
                <w:sz w:val="24"/>
                <w:lang w:val="es-MX" w:eastAsia="en-US"/>
              </w:rPr>
              <w:t xml:space="preserve">esidente, así como a Consejeras </w:t>
            </w:r>
            <w:r w:rsidRPr="00C9629E">
              <w:rPr>
                <w:rFonts w:eastAsia="Calibri"/>
                <w:b/>
                <w:sz w:val="24"/>
                <w:lang w:val="es-MX" w:eastAsia="en-US"/>
              </w:rPr>
              <w:t>y Consejeros electorales que integren los Consejos Distritales y los</w:t>
            </w:r>
            <w:r>
              <w:rPr>
                <w:rFonts w:eastAsia="Calibri"/>
                <w:b/>
                <w:sz w:val="24"/>
                <w:lang w:val="es-MX" w:eastAsia="en-US"/>
              </w:rPr>
              <w:t xml:space="preserve"> </w:t>
            </w:r>
            <w:r w:rsidRPr="00C9629E">
              <w:rPr>
                <w:rFonts w:eastAsia="Calibri"/>
                <w:b/>
                <w:sz w:val="24"/>
                <w:lang w:val="es-MX" w:eastAsia="en-US"/>
              </w:rPr>
              <w:t>Consejos Municipales, respectivamente, con base en los</w:t>
            </w:r>
            <w:r>
              <w:rPr>
                <w:rFonts w:eastAsia="Calibri"/>
                <w:b/>
                <w:sz w:val="24"/>
                <w:lang w:val="es-MX" w:eastAsia="en-US"/>
              </w:rPr>
              <w:t xml:space="preserve"> </w:t>
            </w:r>
            <w:r w:rsidRPr="00C9629E">
              <w:rPr>
                <w:rFonts w:eastAsia="Calibri"/>
                <w:b/>
                <w:sz w:val="24"/>
                <w:lang w:val="es-MX" w:eastAsia="en-US"/>
              </w:rPr>
              <w:t>lineamientos respectivos que emitan. De igual manera podrán</w:t>
            </w:r>
            <w:r>
              <w:rPr>
                <w:rFonts w:eastAsia="Calibri"/>
                <w:b/>
                <w:sz w:val="24"/>
                <w:lang w:val="es-MX" w:eastAsia="en-US"/>
              </w:rPr>
              <w:t xml:space="preserve"> </w:t>
            </w:r>
            <w:r w:rsidRPr="00C9629E">
              <w:rPr>
                <w:rFonts w:eastAsia="Calibri"/>
                <w:b/>
                <w:sz w:val="24"/>
                <w:lang w:val="es-MX" w:eastAsia="en-US"/>
              </w:rPr>
              <w:t>remover, previo ejercicio del derecho de audiencia y el debido</w:t>
            </w:r>
            <w:r>
              <w:rPr>
                <w:rFonts w:eastAsia="Calibri"/>
                <w:b/>
                <w:sz w:val="24"/>
                <w:lang w:val="es-MX" w:eastAsia="en-US"/>
              </w:rPr>
              <w:t xml:space="preserve"> </w:t>
            </w:r>
            <w:r w:rsidRPr="00C9629E">
              <w:rPr>
                <w:rFonts w:eastAsia="Calibri"/>
                <w:b/>
                <w:sz w:val="24"/>
                <w:lang w:val="es-MX" w:eastAsia="en-US"/>
              </w:rPr>
              <w:t>proceso conforme a los artículos 14 y 16 de la Constitución Política</w:t>
            </w:r>
            <w:r>
              <w:rPr>
                <w:rFonts w:eastAsia="Calibri"/>
                <w:b/>
                <w:sz w:val="24"/>
                <w:lang w:val="es-MX" w:eastAsia="en-US"/>
              </w:rPr>
              <w:t xml:space="preserve"> </w:t>
            </w:r>
            <w:r w:rsidRPr="00C9629E">
              <w:rPr>
                <w:rFonts w:eastAsia="Calibri"/>
                <w:b/>
                <w:sz w:val="24"/>
                <w:lang w:val="es-MX" w:eastAsia="en-US"/>
              </w:rPr>
              <w:t>de los Estados Unidos Mexicanos, cuando incumplan</w:t>
            </w:r>
            <w:r>
              <w:rPr>
                <w:rFonts w:eastAsia="Calibri"/>
                <w:b/>
                <w:sz w:val="24"/>
                <w:lang w:val="es-MX" w:eastAsia="en-US"/>
              </w:rPr>
              <w:t xml:space="preserve"> </w:t>
            </w:r>
            <w:r w:rsidRPr="00C9629E">
              <w:rPr>
                <w:rFonts w:eastAsia="Calibri"/>
                <w:b/>
                <w:sz w:val="24"/>
                <w:lang w:val="es-MX" w:eastAsia="en-US"/>
              </w:rPr>
              <w:t>reiteradamente los principios rectores de la función electoral</w:t>
            </w:r>
            <w:r>
              <w:rPr>
                <w:rFonts w:eastAsia="Calibri"/>
                <w:b/>
                <w:sz w:val="24"/>
                <w:lang w:val="es-MX" w:eastAsia="en-US"/>
              </w:rPr>
              <w:t xml:space="preserve"> </w:t>
            </w:r>
            <w:r w:rsidRPr="00C9629E">
              <w:rPr>
                <w:rFonts w:eastAsia="Calibri"/>
                <w:b/>
                <w:sz w:val="24"/>
                <w:lang w:val="es-MX" w:eastAsia="en-US"/>
              </w:rPr>
              <w:t>contemplados en el artículo 15 de la Constitución Estatal;</w:t>
            </w:r>
          </w:p>
          <w:p w:rsidR="00C9629E" w:rsidRPr="000D4BB6" w:rsidRDefault="00C9629E" w:rsidP="0055503B">
            <w:pPr>
              <w:ind w:firstLine="0"/>
              <w:rPr>
                <w:rFonts w:eastAsia="Calibri"/>
                <w:sz w:val="24"/>
                <w:lang w:val="es-MX" w:eastAsia="en-US"/>
              </w:rPr>
            </w:pPr>
          </w:p>
          <w:p w:rsidR="00C9629E" w:rsidRPr="000D4BB6" w:rsidRDefault="008246A3" w:rsidP="0055503B">
            <w:pPr>
              <w:ind w:firstLine="0"/>
              <w:rPr>
                <w:rFonts w:cs="Arial"/>
                <w:sz w:val="24"/>
                <w:lang w:val="es-ES_tradnl"/>
              </w:rPr>
            </w:pPr>
            <w:r>
              <w:rPr>
                <w:rFonts w:eastAsia="Calibri"/>
                <w:sz w:val="24"/>
                <w:lang w:val="es-MX" w:eastAsia="en-US"/>
              </w:rPr>
              <w:t>[…]</w:t>
            </w:r>
          </w:p>
        </w:tc>
      </w:tr>
    </w:tbl>
    <w:p w:rsidR="0055606B" w:rsidRDefault="0055606B" w:rsidP="00384192">
      <w:pPr>
        <w:rPr>
          <w:rFonts w:cs="Arial"/>
          <w:szCs w:val="28"/>
        </w:rPr>
      </w:pPr>
    </w:p>
    <w:p w:rsidR="0055606B" w:rsidRDefault="006116F2" w:rsidP="00384192">
      <w:pPr>
        <w:rPr>
          <w:rFonts w:cs="Arial"/>
          <w:szCs w:val="28"/>
        </w:rPr>
      </w:pPr>
      <w:r w:rsidRPr="00C410F0">
        <w:rPr>
          <w:rFonts w:cs="Arial"/>
          <w:szCs w:val="28"/>
        </w:rPr>
        <w:t xml:space="preserve">De la revisión de la disposición normativa transcrita y </w:t>
      </w:r>
      <w:r w:rsidR="00BF1D7B" w:rsidRPr="00C410F0">
        <w:rPr>
          <w:rFonts w:cs="Arial"/>
          <w:szCs w:val="28"/>
        </w:rPr>
        <w:t>sus</w:t>
      </w:r>
      <w:r w:rsidRPr="00C410F0">
        <w:rPr>
          <w:rFonts w:cs="Arial"/>
          <w:szCs w:val="28"/>
        </w:rPr>
        <w:t xml:space="preserve"> </w:t>
      </w:r>
      <w:proofErr w:type="spellStart"/>
      <w:r w:rsidRPr="00C410F0">
        <w:rPr>
          <w:rFonts w:cs="Arial"/>
          <w:szCs w:val="28"/>
        </w:rPr>
        <w:t>adiciones</w:t>
      </w:r>
      <w:proofErr w:type="spellEnd"/>
      <w:r w:rsidRPr="00C410F0">
        <w:rPr>
          <w:rFonts w:cs="Arial"/>
          <w:szCs w:val="28"/>
        </w:rPr>
        <w:t xml:space="preserve"> y reformas posteriores, </w:t>
      </w:r>
      <w:r w:rsidR="00F120B5" w:rsidRPr="00C410F0">
        <w:rPr>
          <w:rFonts w:cs="Arial"/>
          <w:szCs w:val="28"/>
        </w:rPr>
        <w:t>relativas a</w:t>
      </w:r>
      <w:r w:rsidRPr="00C410F0">
        <w:rPr>
          <w:rFonts w:cs="Arial"/>
          <w:szCs w:val="28"/>
        </w:rPr>
        <w:t xml:space="preserve"> la inclusión de un listado de principios rectores de las actuaciones del Consejo General del Instituto Electoral local</w:t>
      </w:r>
      <w:r w:rsidR="00F120B5" w:rsidRPr="00C410F0">
        <w:rPr>
          <w:rFonts w:cs="Arial"/>
          <w:szCs w:val="28"/>
        </w:rPr>
        <w:t xml:space="preserve"> y la reforma en dos ocasiones de la fracción </w:t>
      </w:r>
      <w:r w:rsidR="00F120B5" w:rsidRPr="00C410F0">
        <w:rPr>
          <w:rFonts w:cs="Arial"/>
          <w:szCs w:val="28"/>
        </w:rPr>
        <w:lastRenderedPageBreak/>
        <w:t>III</w:t>
      </w:r>
      <w:r w:rsidRPr="00C410F0">
        <w:rPr>
          <w:rFonts w:cs="Arial"/>
          <w:szCs w:val="28"/>
        </w:rPr>
        <w:t xml:space="preserve">, este Tribunal Pleno </w:t>
      </w:r>
      <w:r w:rsidR="00BF1D7B" w:rsidRPr="00C410F0">
        <w:rPr>
          <w:rFonts w:cs="Arial"/>
          <w:szCs w:val="28"/>
        </w:rPr>
        <w:t>sostiene</w:t>
      </w:r>
      <w:r w:rsidRPr="00C410F0">
        <w:rPr>
          <w:rFonts w:cs="Arial"/>
          <w:szCs w:val="28"/>
        </w:rPr>
        <w:t xml:space="preserve"> que hubo un cambio en el sentido normativo que lleva a considerar que el texto </w:t>
      </w:r>
      <w:r w:rsidR="00180B2A" w:rsidRPr="00C410F0">
        <w:rPr>
          <w:rFonts w:cs="Arial"/>
          <w:szCs w:val="28"/>
        </w:rPr>
        <w:t xml:space="preserve">de la fracción III </w:t>
      </w:r>
      <w:r w:rsidRPr="00C410F0">
        <w:rPr>
          <w:rFonts w:cs="Arial"/>
          <w:szCs w:val="28"/>
        </w:rPr>
        <w:t>del artículo 146 constituye un nuevo acto legislativo, en términos de lo establecido en el siguiente criterio</w:t>
      </w:r>
      <w:r w:rsidR="00162519">
        <w:rPr>
          <w:rFonts w:cs="Arial"/>
          <w:szCs w:val="28"/>
        </w:rPr>
        <w:t>:</w:t>
      </w:r>
    </w:p>
    <w:p w:rsidR="003754EE" w:rsidRDefault="003754EE" w:rsidP="00384192">
      <w:pPr>
        <w:rPr>
          <w:rFonts w:cs="Arial"/>
          <w:szCs w:val="28"/>
        </w:rPr>
      </w:pPr>
    </w:p>
    <w:p w:rsidR="003754EE" w:rsidRPr="003754EE" w:rsidRDefault="003754EE" w:rsidP="003754EE">
      <w:pPr>
        <w:pStyle w:val="corte5transcripcion"/>
      </w:pPr>
      <w:r w:rsidRPr="003754EE">
        <w:t>ACCIÓN DE INCONSTITUCIONALIDAD. LINEAMIENTOS MÍNIMOS REQUERIDOS PARA CONSIDERAR QUE LA NUEVA NORMA GENERAL IMPUGNADA CONSTITUYE UN NUEVO ACTO LEGISLATIVO. Para considerar que se está en presencia de un nuevo acto legislativo para efectos de su impugnación o sobreseimiento por cesación de efectos en una acción de inconstitucionalidad deben reunirse, al menos, los siguientes dos aspectos: a) Que se haya llevado a cabo un proceso legislativo (criterio formal); y b) Que la modificación normativa sea sustantiva o material. El primer aspecto conlleva el desahogo y agotamiento de las diferentes fases o etapas del procedimiento legislativo: iniciativa, dictamen, discusión, aprobación, promulgación y publicación; mientras que el segundo, consistente en que la modificación sea sustantiva o material, se actualiza cuando existan verdaderos cambios normativos que modifiquen la trascendencia, el contenido o el alcance del precepto, de este modo una modificación al sentido normativo será un nuevo acto legislativo. Este nuevo entendimiento, pretende que a través de la vía de acción de inconstitucionalidad se controlen cambios normativos reales que afecten la esencia de la institución jurídica que se relacione con el cambio normativo al que fue sujeto y que deriva precisamente del producto del órgano legislativo, y no sólo cambios de palabras o cuestiones menores propias de la técnica legislativa tales como, por ejemplo, variación en el número de fracción o de párrafo de un artículo, el mero ajuste en la ubicación de los textos, o cambios de nombres de entes, dependencias y organismos. Tampoco bastará una nueva publicación de la norma para que se considere nuevo acto legislativo ni que se reproduzca íntegramente la norma general, pues se insiste en que la modificación debe producir un efecto normativo en el texto de la disposición al que pertenece el propio sistema</w:t>
      </w:r>
      <w:r>
        <w:rPr>
          <w:rStyle w:val="Refdenotaalpie"/>
        </w:rPr>
        <w:footnoteReference w:id="7"/>
      </w:r>
      <w:r w:rsidRPr="003754EE">
        <w:t xml:space="preserve">. </w:t>
      </w:r>
    </w:p>
    <w:p w:rsidR="003754EE" w:rsidRDefault="003754EE" w:rsidP="003754EE">
      <w:pPr>
        <w:rPr>
          <w:rFonts w:cs="Arial"/>
          <w:szCs w:val="28"/>
        </w:rPr>
      </w:pPr>
      <w:r>
        <w:rPr>
          <w:rFonts w:cs="Arial"/>
          <w:szCs w:val="28"/>
        </w:rPr>
        <w:t xml:space="preserve"> </w:t>
      </w:r>
    </w:p>
    <w:p w:rsidR="00C228DB" w:rsidRDefault="00C228DB" w:rsidP="00F120B5">
      <w:pPr>
        <w:rPr>
          <w:rFonts w:cs="Arial"/>
          <w:szCs w:val="28"/>
        </w:rPr>
      </w:pPr>
      <w:r w:rsidRPr="00540FA7">
        <w:rPr>
          <w:rFonts w:cs="Arial"/>
          <w:szCs w:val="28"/>
        </w:rPr>
        <w:t>Lo anterior debido a que las modificaciones generan un cambio sustantivo en el contenido normativo</w:t>
      </w:r>
      <w:r w:rsidR="00540FA7" w:rsidRPr="00540FA7">
        <w:rPr>
          <w:rFonts w:cs="Arial"/>
          <w:szCs w:val="28"/>
        </w:rPr>
        <w:t xml:space="preserve"> de todo el artículo</w:t>
      </w:r>
      <w:r w:rsidRPr="00540FA7">
        <w:rPr>
          <w:rFonts w:cs="Arial"/>
          <w:szCs w:val="28"/>
        </w:rPr>
        <w:t>, pues la</w:t>
      </w:r>
      <w:r w:rsidR="00AA0012" w:rsidRPr="00540FA7">
        <w:rPr>
          <w:rFonts w:cs="Arial"/>
          <w:szCs w:val="28"/>
        </w:rPr>
        <w:t>s</w:t>
      </w:r>
      <w:r w:rsidRPr="00540FA7">
        <w:rPr>
          <w:rFonts w:cs="Arial"/>
          <w:szCs w:val="28"/>
        </w:rPr>
        <w:t xml:space="preserve"> reforma</w:t>
      </w:r>
      <w:r w:rsidR="00AA0012" w:rsidRPr="00540FA7">
        <w:rPr>
          <w:rFonts w:cs="Arial"/>
          <w:szCs w:val="28"/>
        </w:rPr>
        <w:t>s insertaron</w:t>
      </w:r>
      <w:r w:rsidRPr="00540FA7">
        <w:rPr>
          <w:rFonts w:cs="Arial"/>
          <w:szCs w:val="28"/>
        </w:rPr>
        <w:t xml:space="preserve"> </w:t>
      </w:r>
      <w:r w:rsidR="00AA0012" w:rsidRPr="00540FA7">
        <w:rPr>
          <w:rFonts w:cs="Arial"/>
          <w:szCs w:val="28"/>
        </w:rPr>
        <w:t xml:space="preserve">el principio de paridad de género, la obligación de prevenir, atender y erradicar la violencia política contra las mujeres en razón de género y </w:t>
      </w:r>
      <w:r w:rsidRPr="00540FA7">
        <w:rPr>
          <w:rFonts w:cs="Arial"/>
          <w:szCs w:val="28"/>
        </w:rPr>
        <w:t xml:space="preserve">lenguaje incluyente </w:t>
      </w:r>
      <w:r w:rsidR="00AA0012" w:rsidRPr="00540FA7">
        <w:rPr>
          <w:rFonts w:cs="Arial"/>
          <w:szCs w:val="28"/>
        </w:rPr>
        <w:t>en la misma materia</w:t>
      </w:r>
      <w:r w:rsidRPr="00540FA7">
        <w:rPr>
          <w:rFonts w:cs="Arial"/>
          <w:szCs w:val="28"/>
        </w:rPr>
        <w:t>.</w:t>
      </w:r>
    </w:p>
    <w:p w:rsidR="00C228DB" w:rsidRDefault="00C228DB" w:rsidP="00F120B5">
      <w:pPr>
        <w:rPr>
          <w:rFonts w:cs="Arial"/>
          <w:szCs w:val="28"/>
        </w:rPr>
      </w:pPr>
    </w:p>
    <w:p w:rsidR="003754EE" w:rsidRDefault="00F120B5" w:rsidP="00F120B5">
      <w:pPr>
        <w:rPr>
          <w:rFonts w:cs="Arial"/>
          <w:szCs w:val="28"/>
        </w:rPr>
      </w:pPr>
      <w:r>
        <w:rPr>
          <w:rFonts w:cs="Arial"/>
          <w:szCs w:val="28"/>
        </w:rPr>
        <w:t>Por lo tanto, debe</w:t>
      </w:r>
      <w:r w:rsidR="003754EE" w:rsidRPr="003754EE">
        <w:rPr>
          <w:rFonts w:cs="Arial"/>
          <w:szCs w:val="28"/>
        </w:rPr>
        <w:t xml:space="preserve"> sobreseer</w:t>
      </w:r>
      <w:r>
        <w:rPr>
          <w:rFonts w:cs="Arial"/>
          <w:szCs w:val="28"/>
        </w:rPr>
        <w:t>se</w:t>
      </w:r>
      <w:r w:rsidR="003754EE" w:rsidRPr="003754EE">
        <w:rPr>
          <w:rFonts w:cs="Arial"/>
          <w:szCs w:val="28"/>
        </w:rPr>
        <w:t xml:space="preserve"> </w:t>
      </w:r>
      <w:r>
        <w:rPr>
          <w:rFonts w:cs="Arial"/>
          <w:szCs w:val="28"/>
        </w:rPr>
        <w:t>en esta acción de inconstitucionalidad</w:t>
      </w:r>
      <w:r w:rsidR="003754EE" w:rsidRPr="003754EE">
        <w:rPr>
          <w:rFonts w:cs="Arial"/>
          <w:szCs w:val="28"/>
        </w:rPr>
        <w:t xml:space="preserve"> </w:t>
      </w:r>
      <w:r w:rsidR="003754EE" w:rsidRPr="00293487">
        <w:rPr>
          <w:rFonts w:cs="Arial"/>
          <w:szCs w:val="28"/>
        </w:rPr>
        <w:t xml:space="preserve">respecto del artículo </w:t>
      </w:r>
      <w:r w:rsidR="00CE21BF" w:rsidRPr="00293487">
        <w:rPr>
          <w:rFonts w:cs="Arial"/>
          <w:szCs w:val="28"/>
        </w:rPr>
        <w:t>146</w:t>
      </w:r>
      <w:r w:rsidR="003754EE" w:rsidRPr="00293487">
        <w:rPr>
          <w:rFonts w:cs="Arial"/>
          <w:szCs w:val="28"/>
        </w:rPr>
        <w:t xml:space="preserve">, </w:t>
      </w:r>
      <w:r w:rsidR="00F84FCD" w:rsidRPr="00293487">
        <w:rPr>
          <w:rFonts w:cs="Arial"/>
          <w:szCs w:val="28"/>
        </w:rPr>
        <w:t>fracción</w:t>
      </w:r>
      <w:r w:rsidR="00FC4BEC" w:rsidRPr="00293487">
        <w:rPr>
          <w:rFonts w:cs="Arial"/>
          <w:szCs w:val="28"/>
        </w:rPr>
        <w:t xml:space="preserve"> </w:t>
      </w:r>
      <w:r w:rsidR="00F84FCD" w:rsidRPr="00293487">
        <w:t>III</w:t>
      </w:r>
      <w:r w:rsidR="00CE21BF" w:rsidRPr="00293487">
        <w:t xml:space="preserve">, </w:t>
      </w:r>
      <w:r w:rsidR="00CE21BF" w:rsidRPr="00293487">
        <w:rPr>
          <w:rFonts w:cs="Arial"/>
          <w:szCs w:val="28"/>
        </w:rPr>
        <w:t>de</w:t>
      </w:r>
      <w:r w:rsidR="00CE21BF">
        <w:rPr>
          <w:rFonts w:cs="Arial"/>
          <w:szCs w:val="28"/>
        </w:rPr>
        <w:t xml:space="preserve"> la Ley de Instituciones y Procedimientos Electorales del Estado de Sinaloa</w:t>
      </w:r>
      <w:r w:rsidR="003754EE" w:rsidRPr="003754EE">
        <w:rPr>
          <w:rFonts w:cs="Arial"/>
          <w:szCs w:val="28"/>
        </w:rPr>
        <w:t xml:space="preserve">, en términos de lo dispuesto en el artículo 19, fracción V, de la </w:t>
      </w:r>
      <w:r w:rsidR="00CE21BF" w:rsidRPr="0055606B">
        <w:t>Ley Reglamentaria de las Fracciones I y II del Artículo 105 de la Constitución Política de los Estados Unidos Mexicanos</w:t>
      </w:r>
      <w:r w:rsidR="003754EE" w:rsidRPr="003754EE">
        <w:rPr>
          <w:rFonts w:cs="Arial"/>
          <w:szCs w:val="28"/>
        </w:rPr>
        <w:t>, pues la</w:t>
      </w:r>
      <w:r w:rsidR="00CE21BF">
        <w:rPr>
          <w:rFonts w:cs="Arial"/>
          <w:szCs w:val="28"/>
        </w:rPr>
        <w:t>s</w:t>
      </w:r>
      <w:r w:rsidR="003754EE" w:rsidRPr="003754EE">
        <w:rPr>
          <w:rFonts w:cs="Arial"/>
          <w:szCs w:val="28"/>
        </w:rPr>
        <w:t xml:space="preserve"> </w:t>
      </w:r>
      <w:r w:rsidR="00CE21BF">
        <w:rPr>
          <w:rFonts w:cs="Arial"/>
          <w:szCs w:val="28"/>
        </w:rPr>
        <w:t>reformas referidas ocasionaron</w:t>
      </w:r>
      <w:r w:rsidR="003754EE" w:rsidRPr="003754EE">
        <w:rPr>
          <w:rFonts w:cs="Arial"/>
          <w:szCs w:val="28"/>
        </w:rPr>
        <w:t xml:space="preserve"> que cesaran los efectos de </w:t>
      </w:r>
      <w:r w:rsidR="00CE21BF">
        <w:rPr>
          <w:rFonts w:cs="Arial"/>
          <w:szCs w:val="28"/>
        </w:rPr>
        <w:t>las disposiciones impugnadas.</w:t>
      </w:r>
    </w:p>
    <w:p w:rsidR="00CE21BF" w:rsidRDefault="00CE21BF" w:rsidP="00F120B5">
      <w:pPr>
        <w:rPr>
          <w:rFonts w:cs="Arial"/>
          <w:szCs w:val="28"/>
        </w:rPr>
      </w:pPr>
    </w:p>
    <w:p w:rsidR="00CE21BF" w:rsidRDefault="00CE21BF" w:rsidP="00F120B5">
      <w:pPr>
        <w:rPr>
          <w:rFonts w:cs="Arial"/>
          <w:szCs w:val="28"/>
        </w:rPr>
      </w:pPr>
      <w:r w:rsidRPr="00540FA7">
        <w:rPr>
          <w:rFonts w:cs="Arial"/>
          <w:szCs w:val="28"/>
        </w:rPr>
        <w:t xml:space="preserve">En </w:t>
      </w:r>
      <w:r w:rsidR="00107084" w:rsidRPr="00540FA7">
        <w:rPr>
          <w:rFonts w:cs="Arial"/>
          <w:szCs w:val="28"/>
        </w:rPr>
        <w:t xml:space="preserve">términos </w:t>
      </w:r>
      <w:r w:rsidRPr="00540FA7">
        <w:rPr>
          <w:rFonts w:cs="Arial"/>
          <w:szCs w:val="28"/>
        </w:rPr>
        <w:t xml:space="preserve">similares esta Suprema Corte de Justicia de la Nación resolvió la acción de inconstitucionalidad </w:t>
      </w:r>
      <w:r w:rsidR="00415CAE" w:rsidRPr="00540FA7">
        <w:rPr>
          <w:rFonts w:cs="Arial"/>
          <w:szCs w:val="28"/>
        </w:rPr>
        <w:t>146</w:t>
      </w:r>
      <w:r w:rsidR="0055503B" w:rsidRPr="00540FA7">
        <w:rPr>
          <w:rFonts w:cs="Arial"/>
          <w:szCs w:val="28"/>
        </w:rPr>
        <w:t>/2020</w:t>
      </w:r>
      <w:r w:rsidR="00415CAE" w:rsidRPr="00540FA7">
        <w:rPr>
          <w:rFonts w:cs="Arial"/>
          <w:szCs w:val="28"/>
        </w:rPr>
        <w:t xml:space="preserve"> el ocho </w:t>
      </w:r>
      <w:r w:rsidR="00107084" w:rsidRPr="00540FA7">
        <w:rPr>
          <w:rFonts w:cs="Arial"/>
          <w:szCs w:val="28"/>
        </w:rPr>
        <w:t>de septiembre y 157/2020 el veintinueve de septiembre</w:t>
      </w:r>
      <w:r w:rsidR="00180B2A" w:rsidRPr="00540FA7">
        <w:rPr>
          <w:rFonts w:cs="Arial"/>
          <w:szCs w:val="28"/>
        </w:rPr>
        <w:t>, ambos</w:t>
      </w:r>
      <w:r w:rsidR="00107084" w:rsidRPr="00540FA7">
        <w:rPr>
          <w:rFonts w:cs="Arial"/>
          <w:szCs w:val="28"/>
        </w:rPr>
        <w:t xml:space="preserve"> de dos mil veinte.</w:t>
      </w:r>
    </w:p>
    <w:p w:rsidR="0055606B" w:rsidRDefault="0055606B" w:rsidP="00384192">
      <w:pPr>
        <w:rPr>
          <w:rFonts w:cs="Arial"/>
          <w:szCs w:val="28"/>
        </w:rPr>
      </w:pPr>
    </w:p>
    <w:p w:rsidR="00BF1D7B" w:rsidRPr="00E2178A" w:rsidRDefault="00434930" w:rsidP="00E2178A">
      <w:r>
        <w:rPr>
          <w:rFonts w:cs="Arial"/>
          <w:szCs w:val="28"/>
        </w:rPr>
        <w:t xml:space="preserve">De igual forma, en el caso es aplicable la causa de improcedencia por cesación de efectos respecto del artículo </w:t>
      </w:r>
      <w:r w:rsidR="00AD5B5A" w:rsidRPr="00B2248B">
        <w:t>80, párrafo</w:t>
      </w:r>
      <w:r w:rsidR="00E2178A">
        <w:t>s</w:t>
      </w:r>
      <w:r w:rsidR="00FC4BEC">
        <w:t xml:space="preserve"> segundo</w:t>
      </w:r>
      <w:r w:rsidR="00E2178A">
        <w:t xml:space="preserve"> y tercero</w:t>
      </w:r>
      <w:r w:rsidR="00AD5B5A">
        <w:t>, impugnado por el partido demandante, en tanto que dicho párrafo fue modificado mediante el decreto 505, publicado el catorce de septiembre de dos mil veinte</w:t>
      </w:r>
      <w:r w:rsidR="00BF1D7B">
        <w:t>.</w:t>
      </w:r>
      <w:r w:rsidR="00BF1D7B">
        <w:rPr>
          <w:rFonts w:cs="Arial"/>
          <w:szCs w:val="28"/>
        </w:rPr>
        <w:t xml:space="preserve"> La</w:t>
      </w:r>
      <w:r w:rsidR="00C14722">
        <w:rPr>
          <w:rFonts w:cs="Arial"/>
          <w:szCs w:val="28"/>
        </w:rPr>
        <w:t>s disposiciones</w:t>
      </w:r>
      <w:r w:rsidR="00BF1D7B">
        <w:rPr>
          <w:rFonts w:cs="Arial"/>
          <w:szCs w:val="28"/>
        </w:rPr>
        <w:t xml:space="preserve"> normativa</w:t>
      </w:r>
      <w:r w:rsidR="00C14722">
        <w:rPr>
          <w:rFonts w:cs="Arial"/>
          <w:szCs w:val="28"/>
        </w:rPr>
        <w:t>s</w:t>
      </w:r>
      <w:r w:rsidR="00BF1D7B">
        <w:rPr>
          <w:rFonts w:cs="Arial"/>
          <w:szCs w:val="28"/>
        </w:rPr>
        <w:t xml:space="preserve"> </w:t>
      </w:r>
      <w:r w:rsidR="00C14722">
        <w:rPr>
          <w:rFonts w:cs="Arial"/>
          <w:szCs w:val="28"/>
        </w:rPr>
        <w:t>impugnada</w:t>
      </w:r>
      <w:r w:rsidR="00BF1D7B">
        <w:rPr>
          <w:rFonts w:cs="Arial"/>
          <w:szCs w:val="28"/>
        </w:rPr>
        <w:t xml:space="preserve"> y como producto de la reforma recién referida son del tenor siguiente</w:t>
      </w:r>
      <w:r w:rsidR="00162519">
        <w:rPr>
          <w:rFonts w:cs="Arial"/>
          <w:szCs w:val="28"/>
        </w:rPr>
        <w:t>:</w:t>
      </w:r>
    </w:p>
    <w:p w:rsidR="00BF1D7B" w:rsidRDefault="00BF1D7B" w:rsidP="00384192">
      <w:pPr>
        <w:rPr>
          <w:rFonts w:cs="Arial"/>
          <w:szCs w:val="28"/>
        </w:rPr>
      </w:pPr>
    </w:p>
    <w:tbl>
      <w:tblPr>
        <w:tblStyle w:val="Tablaconcuadrcula1"/>
        <w:tblW w:w="0" w:type="auto"/>
        <w:tblLook w:val="04A0" w:firstRow="1" w:lastRow="0" w:firstColumn="1" w:lastColumn="0" w:noHBand="0" w:noVBand="1"/>
      </w:tblPr>
      <w:tblGrid>
        <w:gridCol w:w="4290"/>
        <w:gridCol w:w="4254"/>
      </w:tblGrid>
      <w:tr w:rsidR="000337BC" w:rsidRPr="000D4BB6" w:rsidTr="006317F0">
        <w:tc>
          <w:tcPr>
            <w:tcW w:w="4290" w:type="dxa"/>
            <w:shd w:val="clear" w:color="auto" w:fill="D9D9D9"/>
          </w:tcPr>
          <w:p w:rsidR="000337BC" w:rsidRPr="000D4BB6" w:rsidRDefault="000337BC" w:rsidP="006317F0">
            <w:pPr>
              <w:ind w:firstLine="0"/>
              <w:jc w:val="center"/>
              <w:rPr>
                <w:rFonts w:cs="Arial"/>
                <w:b/>
                <w:sz w:val="24"/>
                <w:lang w:val="es-ES_tradnl"/>
              </w:rPr>
            </w:pPr>
            <w:r w:rsidRPr="000D4BB6">
              <w:rPr>
                <w:rFonts w:cs="Arial"/>
                <w:b/>
                <w:sz w:val="24"/>
                <w:lang w:val="es-ES_tradnl"/>
              </w:rPr>
              <w:t xml:space="preserve">Texto del artículo </w:t>
            </w:r>
            <w:r>
              <w:rPr>
                <w:rFonts w:cs="Arial"/>
                <w:b/>
                <w:sz w:val="24"/>
                <w:lang w:val="es-ES_tradnl"/>
              </w:rPr>
              <w:t>impugnado</w:t>
            </w:r>
          </w:p>
        </w:tc>
        <w:tc>
          <w:tcPr>
            <w:tcW w:w="4254" w:type="dxa"/>
            <w:shd w:val="clear" w:color="auto" w:fill="D9D9D9"/>
          </w:tcPr>
          <w:p w:rsidR="000337BC" w:rsidRPr="000D4BB6" w:rsidRDefault="000337BC" w:rsidP="006A7D50">
            <w:pPr>
              <w:ind w:firstLine="0"/>
              <w:jc w:val="center"/>
              <w:rPr>
                <w:rFonts w:cs="Arial"/>
                <w:b/>
                <w:sz w:val="24"/>
                <w:lang w:val="es-ES_tradnl"/>
              </w:rPr>
            </w:pPr>
            <w:r w:rsidRPr="000D4BB6">
              <w:rPr>
                <w:rFonts w:cs="Arial"/>
                <w:b/>
                <w:sz w:val="24"/>
                <w:lang w:val="es-ES_tradnl"/>
              </w:rPr>
              <w:t>Texto del artículo reformado</w:t>
            </w:r>
            <w:r>
              <w:rPr>
                <w:rFonts w:cs="Arial"/>
                <w:b/>
                <w:sz w:val="24"/>
                <w:lang w:val="es-ES_tradnl"/>
              </w:rPr>
              <w:t xml:space="preserve"> mediante el decreto </w:t>
            </w:r>
            <w:r w:rsidR="006A7D50">
              <w:rPr>
                <w:rFonts w:cs="Arial"/>
                <w:b/>
                <w:sz w:val="24"/>
                <w:lang w:val="es-ES_tradnl"/>
              </w:rPr>
              <w:t>505</w:t>
            </w:r>
          </w:p>
        </w:tc>
      </w:tr>
      <w:tr w:rsidR="004C094A" w:rsidRPr="000D4BB6" w:rsidTr="006317F0">
        <w:tc>
          <w:tcPr>
            <w:tcW w:w="4290" w:type="dxa"/>
          </w:tcPr>
          <w:p w:rsidR="004C094A" w:rsidRPr="000337BC" w:rsidRDefault="004C094A" w:rsidP="004C094A">
            <w:pPr>
              <w:ind w:firstLine="0"/>
              <w:rPr>
                <w:rFonts w:eastAsia="Calibri"/>
                <w:sz w:val="24"/>
                <w:lang w:val="es-MX" w:eastAsia="en-US"/>
              </w:rPr>
            </w:pPr>
            <w:r w:rsidRPr="000337BC">
              <w:rPr>
                <w:rFonts w:eastAsia="Calibri"/>
                <w:sz w:val="24"/>
                <w:lang w:val="es-MX" w:eastAsia="en-US"/>
              </w:rPr>
              <w:t>Artículo 80. Las y los ciudadanos que pretendan postular su candidatura independiente a un cargo de elección popular deberán hacerlo del conocimiento del órgano correspondiente del Instituto, dependiendo del cargo al que aspiren, por escrito y en el formato que el Consejo General determine.</w:t>
            </w:r>
          </w:p>
          <w:p w:rsidR="004C094A" w:rsidRPr="000337BC" w:rsidRDefault="004C094A" w:rsidP="004C094A">
            <w:pPr>
              <w:ind w:firstLine="0"/>
              <w:rPr>
                <w:rFonts w:eastAsia="Calibri"/>
                <w:sz w:val="24"/>
                <w:lang w:val="es-MX" w:eastAsia="en-US"/>
              </w:rPr>
            </w:pPr>
          </w:p>
          <w:p w:rsidR="004C094A" w:rsidRPr="004C094A" w:rsidRDefault="004C094A" w:rsidP="004C094A">
            <w:pPr>
              <w:ind w:firstLine="0"/>
              <w:rPr>
                <w:rFonts w:eastAsia="Calibri"/>
                <w:b/>
                <w:sz w:val="24"/>
                <w:lang w:val="es-MX" w:eastAsia="en-US"/>
              </w:rPr>
            </w:pPr>
            <w:r w:rsidRPr="004C094A">
              <w:rPr>
                <w:rFonts w:eastAsia="Calibri"/>
                <w:b/>
                <w:sz w:val="24"/>
                <w:lang w:val="es-MX" w:eastAsia="en-US"/>
              </w:rPr>
              <w:t xml:space="preserve">La manifestación de la intención se realizará a partir del día siguiente al de la celebración de la sesión del Consejo General para el inicio formal del proceso electoral y hasta el día previo al inicio del periodo </w:t>
            </w:r>
            <w:r w:rsidRPr="004C094A">
              <w:rPr>
                <w:rFonts w:eastAsia="Calibri"/>
                <w:b/>
                <w:sz w:val="24"/>
                <w:lang w:val="es-MX" w:eastAsia="en-US"/>
              </w:rPr>
              <w:lastRenderedPageBreak/>
              <w:t xml:space="preserve">para recabar el apoyo ciudadano correspondiente, conforme a las siguientes reglas: </w:t>
            </w:r>
          </w:p>
          <w:p w:rsidR="004C094A" w:rsidRPr="004C094A" w:rsidRDefault="004C094A" w:rsidP="004C094A">
            <w:pPr>
              <w:ind w:firstLine="0"/>
              <w:rPr>
                <w:rFonts w:eastAsia="Calibri"/>
                <w:sz w:val="24"/>
                <w:lang w:val="es-MX" w:eastAsia="en-US"/>
              </w:rPr>
            </w:pPr>
          </w:p>
          <w:p w:rsidR="004C094A" w:rsidRPr="004C094A" w:rsidRDefault="004C094A" w:rsidP="004C094A">
            <w:pPr>
              <w:ind w:firstLine="0"/>
              <w:rPr>
                <w:rFonts w:eastAsia="Calibri"/>
                <w:sz w:val="24"/>
                <w:lang w:val="es-MX" w:eastAsia="en-US"/>
              </w:rPr>
            </w:pPr>
            <w:r w:rsidRPr="004C094A">
              <w:rPr>
                <w:rFonts w:eastAsia="Calibri"/>
                <w:sz w:val="24"/>
                <w:lang w:val="es-MX" w:eastAsia="en-US"/>
              </w:rPr>
              <w:t>I. Las y los aspirantes al cargo de Gobernador del Estado, ante el Consejo General;</w:t>
            </w:r>
          </w:p>
          <w:p w:rsidR="004C094A" w:rsidRPr="004C094A" w:rsidRDefault="004C094A" w:rsidP="004C094A">
            <w:pPr>
              <w:ind w:firstLine="0"/>
              <w:rPr>
                <w:rFonts w:eastAsia="Calibri"/>
                <w:sz w:val="24"/>
                <w:lang w:val="es-MX" w:eastAsia="en-US"/>
              </w:rPr>
            </w:pPr>
          </w:p>
          <w:p w:rsidR="004C094A" w:rsidRPr="004C094A" w:rsidRDefault="004C094A" w:rsidP="004C094A">
            <w:pPr>
              <w:ind w:firstLine="0"/>
              <w:rPr>
                <w:rFonts w:eastAsia="Calibri"/>
                <w:sz w:val="24"/>
                <w:lang w:val="es-MX" w:eastAsia="en-US"/>
              </w:rPr>
            </w:pPr>
            <w:r w:rsidRPr="004C094A">
              <w:rPr>
                <w:rFonts w:eastAsia="Calibri"/>
                <w:sz w:val="24"/>
                <w:lang w:val="es-MX" w:eastAsia="en-US"/>
              </w:rPr>
              <w:t>II. Las fórmulas de aspirantes al cargo de Diputado local por el sistema de mayoría relativa ante el Consejo Distrital correspondiente; y,</w:t>
            </w:r>
          </w:p>
          <w:p w:rsidR="004C094A" w:rsidRPr="004C094A" w:rsidRDefault="004C094A" w:rsidP="004C094A">
            <w:pPr>
              <w:ind w:firstLine="0"/>
              <w:rPr>
                <w:rFonts w:eastAsia="Calibri"/>
                <w:sz w:val="24"/>
                <w:lang w:val="es-MX" w:eastAsia="en-US"/>
              </w:rPr>
            </w:pPr>
          </w:p>
          <w:p w:rsidR="004C094A" w:rsidRPr="004C094A" w:rsidRDefault="004C094A" w:rsidP="004C094A">
            <w:pPr>
              <w:ind w:firstLine="0"/>
              <w:rPr>
                <w:rFonts w:eastAsia="Calibri"/>
                <w:sz w:val="24"/>
                <w:lang w:val="es-MX" w:eastAsia="en-US"/>
              </w:rPr>
            </w:pPr>
            <w:r w:rsidRPr="004C094A">
              <w:rPr>
                <w:rFonts w:eastAsia="Calibri"/>
                <w:sz w:val="24"/>
                <w:lang w:val="es-MX" w:eastAsia="en-US"/>
              </w:rPr>
              <w:t>III. Las planillas de aspirantes a los cargos de Presidente Municipal, Síndico Procurador y Regidores por el sistema de mayoría relativa, ante el Consejo Municipal respectivo.</w:t>
            </w:r>
          </w:p>
          <w:p w:rsidR="004C094A" w:rsidRPr="004C094A" w:rsidRDefault="004C094A" w:rsidP="004C094A">
            <w:pPr>
              <w:ind w:firstLine="0"/>
              <w:rPr>
                <w:rFonts w:eastAsia="Calibri"/>
                <w:sz w:val="24"/>
                <w:lang w:val="es-MX" w:eastAsia="en-US"/>
              </w:rPr>
            </w:pPr>
          </w:p>
          <w:p w:rsidR="004C094A" w:rsidRPr="004C094A" w:rsidRDefault="004C094A" w:rsidP="004C094A">
            <w:pPr>
              <w:ind w:firstLine="0"/>
              <w:rPr>
                <w:rFonts w:eastAsia="Calibri"/>
                <w:b/>
                <w:sz w:val="24"/>
                <w:lang w:val="es-MX" w:eastAsia="en-US"/>
              </w:rPr>
            </w:pPr>
            <w:r w:rsidRPr="004C094A">
              <w:rPr>
                <w:rFonts w:eastAsia="Calibri"/>
                <w:b/>
                <w:sz w:val="24"/>
                <w:lang w:val="es-MX" w:eastAsia="en-US"/>
              </w:rPr>
              <w:t xml:space="preserve">Las manifestaciones de intención de ciudadanos que pretendan postularse como candidatos independientes a los cargos de Diputados, Presidente municipal, Síndico Procurador y Regidurías, todos por el sistema de mayoría relativa, podrán presentarse supletoriamente ante el Consejo General, quien podrá acreditar a los aspirantes que hayan cumplido con los requisitos; así como recibir y resolver las solicitudes de registro de fórmulas de candidatos independientes a dichos cargos. </w:t>
            </w:r>
          </w:p>
          <w:p w:rsidR="004C094A" w:rsidRDefault="004C094A" w:rsidP="004C094A">
            <w:pPr>
              <w:ind w:firstLine="0"/>
              <w:rPr>
                <w:rFonts w:eastAsia="Calibri"/>
                <w:sz w:val="24"/>
                <w:lang w:val="es-MX" w:eastAsia="en-US"/>
              </w:rPr>
            </w:pPr>
          </w:p>
          <w:p w:rsidR="004C094A" w:rsidRPr="000337BC" w:rsidRDefault="004C094A" w:rsidP="004C094A">
            <w:pPr>
              <w:ind w:firstLine="0"/>
              <w:rPr>
                <w:rFonts w:eastAsia="Calibri"/>
                <w:sz w:val="24"/>
                <w:lang w:val="es-MX" w:eastAsia="en-US"/>
              </w:rPr>
            </w:pPr>
            <w:r w:rsidRPr="000337BC">
              <w:rPr>
                <w:rFonts w:eastAsia="Calibri"/>
                <w:sz w:val="24"/>
                <w:lang w:val="es-MX" w:eastAsia="en-US"/>
              </w:rPr>
              <w:t>Una vez hecha la comunicación a que se refiere el párrafo primero de este artículo y recibida la constancia respectiva, los ciudadanos adquirirán la calidad de aspirantes.</w:t>
            </w:r>
          </w:p>
          <w:p w:rsidR="004C094A" w:rsidRPr="000337BC" w:rsidRDefault="004C094A" w:rsidP="004C094A">
            <w:pPr>
              <w:ind w:firstLine="0"/>
              <w:rPr>
                <w:rFonts w:eastAsia="Calibri"/>
                <w:sz w:val="24"/>
                <w:lang w:val="es-MX" w:eastAsia="en-US"/>
              </w:rPr>
            </w:pPr>
          </w:p>
          <w:p w:rsidR="004C094A" w:rsidRPr="000337BC" w:rsidRDefault="004C094A" w:rsidP="004C094A">
            <w:pPr>
              <w:ind w:firstLine="0"/>
              <w:rPr>
                <w:rFonts w:eastAsia="Calibri"/>
                <w:sz w:val="24"/>
                <w:lang w:val="es-MX" w:eastAsia="en-US"/>
              </w:rPr>
            </w:pPr>
            <w:r w:rsidRPr="000337BC">
              <w:rPr>
                <w:rFonts w:eastAsia="Calibri"/>
                <w:sz w:val="24"/>
                <w:lang w:val="es-MX" w:eastAsia="en-US"/>
              </w:rPr>
              <w:t xml:space="preserve">Con la manifestación de intención, el aspirante a candidato independiente deberá presentar la documentación que acredite la creación de la persona moral constituida en asociación civil, la cual deberá tener el mismo tratamiento que un partido político en el régimen fiscal. El Consejo General </w:t>
            </w:r>
            <w:r w:rsidRPr="000337BC">
              <w:rPr>
                <w:rFonts w:eastAsia="Calibri"/>
                <w:sz w:val="24"/>
                <w:lang w:val="es-MX" w:eastAsia="en-US"/>
              </w:rPr>
              <w:lastRenderedPageBreak/>
              <w:t>establecerá el modelo único de estatutos de la asociación civil. De la misma manera deberá acreditar su alta ante el Sistema de Administración Tributaria y anexar los datos de la cuenta bancaria a nombre de la persona moral para recibir el financiamiento público y privado correspondiente.</w:t>
            </w:r>
          </w:p>
          <w:p w:rsidR="004C094A" w:rsidRPr="000337BC" w:rsidRDefault="004C094A" w:rsidP="004C094A">
            <w:pPr>
              <w:ind w:firstLine="0"/>
              <w:rPr>
                <w:rFonts w:eastAsia="Calibri"/>
                <w:sz w:val="24"/>
                <w:lang w:val="es-MX" w:eastAsia="en-US"/>
              </w:rPr>
            </w:pPr>
          </w:p>
          <w:p w:rsidR="004C094A" w:rsidRPr="000D4BB6" w:rsidRDefault="004C094A" w:rsidP="004C094A">
            <w:pPr>
              <w:ind w:firstLine="0"/>
              <w:rPr>
                <w:rFonts w:eastAsia="Calibri"/>
                <w:b/>
                <w:sz w:val="24"/>
                <w:lang w:val="es-MX" w:eastAsia="en-US"/>
              </w:rPr>
            </w:pPr>
            <w:r w:rsidRPr="000337BC">
              <w:rPr>
                <w:rFonts w:eastAsia="Calibri"/>
                <w:sz w:val="24"/>
                <w:lang w:val="es-MX" w:eastAsia="en-US"/>
              </w:rPr>
              <w:t>La persona moral a la que se refiere el párrafo anterior deberá estar constituida con por lo menos el aspirante a candidato independiente, su representante legal y el encargado de la administración de los recursos de la candidatura independiente.</w:t>
            </w:r>
          </w:p>
        </w:tc>
        <w:tc>
          <w:tcPr>
            <w:tcW w:w="4254" w:type="dxa"/>
          </w:tcPr>
          <w:p w:rsidR="004C094A" w:rsidRPr="004C094A" w:rsidRDefault="004C094A" w:rsidP="004C094A">
            <w:pPr>
              <w:ind w:firstLine="0"/>
              <w:rPr>
                <w:rFonts w:eastAsia="Calibri"/>
                <w:sz w:val="24"/>
                <w:lang w:val="es-MX" w:eastAsia="en-US"/>
              </w:rPr>
            </w:pPr>
            <w:r w:rsidRPr="004C094A">
              <w:rPr>
                <w:rFonts w:eastAsia="Calibri"/>
                <w:sz w:val="24"/>
                <w:lang w:val="es-MX" w:eastAsia="en-US"/>
              </w:rPr>
              <w:lastRenderedPageBreak/>
              <w:t>Artículo 80. Las y los ciudadanos que pretendan postular su candidatura independiente a un cargo de elección popular deberán hacerlo del conocimiento del órgano correspondiente del Instituto, dependiendo del cargo al que aspiren, por escrito y en el formato que el Consejo General determine.</w:t>
            </w:r>
          </w:p>
          <w:p w:rsidR="004C094A" w:rsidRPr="004C094A" w:rsidRDefault="004C094A" w:rsidP="004C094A">
            <w:pPr>
              <w:ind w:firstLine="0"/>
              <w:rPr>
                <w:rFonts w:eastAsia="Calibri"/>
                <w:sz w:val="24"/>
                <w:lang w:val="es-MX" w:eastAsia="en-US"/>
              </w:rPr>
            </w:pPr>
          </w:p>
          <w:p w:rsidR="004C094A" w:rsidRPr="004C094A" w:rsidRDefault="004C094A" w:rsidP="004C094A">
            <w:pPr>
              <w:ind w:firstLine="0"/>
              <w:rPr>
                <w:rFonts w:eastAsia="Calibri"/>
                <w:sz w:val="24"/>
                <w:lang w:val="es-MX" w:eastAsia="en-US"/>
              </w:rPr>
            </w:pPr>
            <w:r w:rsidRPr="004C094A">
              <w:rPr>
                <w:rFonts w:eastAsia="Calibri"/>
                <w:sz w:val="24"/>
                <w:lang w:val="es-MX" w:eastAsia="en-US"/>
              </w:rPr>
              <w:t xml:space="preserve">La manifestación de la intención se realizará a partir del día siguiente al de la celebración de la sesión del Consejo General para el inicio formal del proceso electoral y hasta el día previo al inicio del periodo para </w:t>
            </w:r>
            <w:r w:rsidRPr="004C094A">
              <w:rPr>
                <w:rFonts w:eastAsia="Calibri"/>
                <w:sz w:val="24"/>
                <w:lang w:val="es-MX" w:eastAsia="en-US"/>
              </w:rPr>
              <w:lastRenderedPageBreak/>
              <w:t xml:space="preserve">recabar el apoyo ciudadano correspondiente, conforme a las siguientes reglas: </w:t>
            </w:r>
          </w:p>
          <w:p w:rsidR="004C094A" w:rsidRPr="004C094A" w:rsidRDefault="004C094A" w:rsidP="004C094A">
            <w:pPr>
              <w:ind w:firstLine="0"/>
              <w:rPr>
                <w:rFonts w:eastAsia="Calibri"/>
                <w:sz w:val="24"/>
                <w:lang w:val="es-MX" w:eastAsia="en-US"/>
              </w:rPr>
            </w:pPr>
          </w:p>
          <w:p w:rsidR="004C094A" w:rsidRPr="004C094A" w:rsidRDefault="004C094A" w:rsidP="004C094A">
            <w:pPr>
              <w:ind w:firstLine="0"/>
              <w:rPr>
                <w:rFonts w:eastAsia="Calibri"/>
                <w:sz w:val="24"/>
                <w:lang w:val="es-MX" w:eastAsia="en-US"/>
              </w:rPr>
            </w:pPr>
            <w:r w:rsidRPr="004C094A">
              <w:rPr>
                <w:rFonts w:eastAsia="Calibri"/>
                <w:sz w:val="24"/>
                <w:lang w:val="es-MX" w:eastAsia="en-US"/>
              </w:rPr>
              <w:t>I. Las y los aspirantes al cargo de Gobernador del Estado, ante el Consejo General;</w:t>
            </w:r>
          </w:p>
          <w:p w:rsidR="004C094A" w:rsidRPr="004C094A" w:rsidRDefault="004C094A" w:rsidP="004C094A">
            <w:pPr>
              <w:ind w:firstLine="0"/>
              <w:rPr>
                <w:rFonts w:eastAsia="Calibri"/>
                <w:sz w:val="24"/>
                <w:lang w:val="es-MX" w:eastAsia="en-US"/>
              </w:rPr>
            </w:pPr>
          </w:p>
          <w:p w:rsidR="004C094A" w:rsidRPr="004C094A" w:rsidRDefault="004C094A" w:rsidP="004C094A">
            <w:pPr>
              <w:ind w:firstLine="0"/>
              <w:rPr>
                <w:rFonts w:eastAsia="Calibri"/>
                <w:sz w:val="24"/>
                <w:lang w:val="es-MX" w:eastAsia="en-US"/>
              </w:rPr>
            </w:pPr>
            <w:r w:rsidRPr="004C094A">
              <w:rPr>
                <w:rFonts w:eastAsia="Calibri"/>
                <w:sz w:val="24"/>
                <w:lang w:val="es-MX" w:eastAsia="en-US"/>
              </w:rPr>
              <w:t>II. Las fórmulas de aspirantes al cargo de Diputado local por el sistema de mayoría relativa ante el Consejo Distrital correspondiente; y,</w:t>
            </w:r>
          </w:p>
          <w:p w:rsidR="004C094A" w:rsidRPr="004C094A" w:rsidRDefault="004C094A" w:rsidP="004C094A">
            <w:pPr>
              <w:ind w:firstLine="0"/>
              <w:rPr>
                <w:rFonts w:eastAsia="Calibri"/>
                <w:sz w:val="24"/>
                <w:lang w:val="es-MX" w:eastAsia="en-US"/>
              </w:rPr>
            </w:pPr>
          </w:p>
          <w:p w:rsidR="00AD5B5A" w:rsidRPr="00AD5B5A" w:rsidRDefault="00AD5B5A" w:rsidP="00AD5B5A">
            <w:pPr>
              <w:ind w:firstLine="0"/>
              <w:rPr>
                <w:rFonts w:eastAsia="Calibri"/>
                <w:b/>
                <w:sz w:val="24"/>
                <w:lang w:val="es-MX" w:eastAsia="en-US"/>
              </w:rPr>
            </w:pPr>
            <w:r w:rsidRPr="00AD5B5A">
              <w:rPr>
                <w:rFonts w:eastAsia="Calibri"/>
                <w:b/>
                <w:sz w:val="24"/>
                <w:lang w:val="es-MX" w:eastAsia="en-US"/>
              </w:rPr>
              <w:t xml:space="preserve">III. Las planillas de aspirantes a los cargos de Presidente Municipal, Síndico Procurador y Regidores, así como las listas a regidores por el Principio de Representación Proporcional, ante el Consejo Municipal respectivo. </w:t>
            </w:r>
          </w:p>
          <w:p w:rsidR="00AD5B5A" w:rsidRPr="00AD5B5A" w:rsidRDefault="00AD5B5A" w:rsidP="00AD5B5A">
            <w:pPr>
              <w:ind w:firstLine="0"/>
              <w:rPr>
                <w:rFonts w:eastAsia="Calibri"/>
                <w:b/>
                <w:sz w:val="24"/>
                <w:lang w:val="es-MX" w:eastAsia="en-US"/>
              </w:rPr>
            </w:pPr>
          </w:p>
          <w:p w:rsidR="00AD5B5A" w:rsidRPr="00AD5B5A" w:rsidRDefault="00AD5B5A" w:rsidP="00AD5B5A">
            <w:pPr>
              <w:ind w:firstLine="0"/>
              <w:rPr>
                <w:rFonts w:eastAsia="Calibri"/>
                <w:b/>
                <w:sz w:val="24"/>
                <w:lang w:val="es-MX" w:eastAsia="en-US"/>
              </w:rPr>
            </w:pPr>
            <w:r w:rsidRPr="00AD5B5A">
              <w:rPr>
                <w:rFonts w:eastAsia="Calibri"/>
                <w:b/>
                <w:sz w:val="24"/>
                <w:lang w:val="es-MX" w:eastAsia="en-US"/>
              </w:rPr>
              <w:t>Las manifestaciones de intención de ciudadanos que pretendan postularse como candidatos independientes a los cargos de Diputaciones, Presidente Municipal, Síndico Procurador y Regidurías por ambos principios, podrán presentarse supletoriamente ante el Consejo General, quien podrá acreditar a los aspirantes que hayan cumplido con los requisitos; así como recibir y resolver las solicitudes de registro de fórmulas de candidatos independientes a dichos cargos.</w:t>
            </w:r>
          </w:p>
          <w:p w:rsidR="004C094A" w:rsidRPr="004C094A" w:rsidRDefault="004C094A" w:rsidP="004C094A">
            <w:pPr>
              <w:ind w:firstLine="0"/>
              <w:rPr>
                <w:rFonts w:eastAsia="Calibri"/>
                <w:sz w:val="24"/>
                <w:lang w:val="es-MX" w:eastAsia="en-US"/>
              </w:rPr>
            </w:pPr>
          </w:p>
          <w:p w:rsidR="004C094A" w:rsidRPr="004C094A" w:rsidRDefault="004C094A" w:rsidP="004C094A">
            <w:pPr>
              <w:ind w:firstLine="0"/>
              <w:rPr>
                <w:rFonts w:eastAsia="Calibri"/>
                <w:sz w:val="24"/>
                <w:lang w:val="es-MX" w:eastAsia="en-US"/>
              </w:rPr>
            </w:pPr>
            <w:r w:rsidRPr="004C094A">
              <w:rPr>
                <w:rFonts w:eastAsia="Calibri"/>
                <w:sz w:val="24"/>
                <w:lang w:val="es-MX" w:eastAsia="en-US"/>
              </w:rPr>
              <w:t>Una vez hecha la comunicación a que se refiere el párrafo primero de este artículo y recibida la constancia respectiva, los ciudadanos adquirirán la calidad de aspirantes.</w:t>
            </w:r>
          </w:p>
          <w:p w:rsidR="004C094A" w:rsidRPr="004C094A" w:rsidRDefault="004C094A" w:rsidP="004C094A">
            <w:pPr>
              <w:ind w:firstLine="0"/>
              <w:rPr>
                <w:rFonts w:eastAsia="Calibri"/>
                <w:sz w:val="24"/>
                <w:lang w:val="es-MX" w:eastAsia="en-US"/>
              </w:rPr>
            </w:pPr>
          </w:p>
          <w:p w:rsidR="004C094A" w:rsidRPr="004C094A" w:rsidRDefault="004C094A" w:rsidP="004C094A">
            <w:pPr>
              <w:ind w:firstLine="0"/>
              <w:rPr>
                <w:rFonts w:eastAsia="Calibri"/>
                <w:sz w:val="24"/>
                <w:lang w:val="es-MX" w:eastAsia="en-US"/>
              </w:rPr>
            </w:pPr>
            <w:r w:rsidRPr="004C094A">
              <w:rPr>
                <w:rFonts w:eastAsia="Calibri"/>
                <w:sz w:val="24"/>
                <w:lang w:val="es-MX" w:eastAsia="en-US"/>
              </w:rPr>
              <w:t xml:space="preserve">Con la manifestación de intención, el aspirante a candidato independiente deberá presentar la documentación que acredite la creación de la persona moral constituida en asociación civil, la cual deberá tener el mismo </w:t>
            </w:r>
            <w:r w:rsidRPr="004C094A">
              <w:rPr>
                <w:rFonts w:eastAsia="Calibri"/>
                <w:sz w:val="24"/>
                <w:lang w:val="es-MX" w:eastAsia="en-US"/>
              </w:rPr>
              <w:lastRenderedPageBreak/>
              <w:t>tratamiento que un partido político en el régimen fiscal. El Consejo General establecerá el modelo único de estatutos de la asociación civil. De la misma manera deberá acreditar su alta ante el Sistema de Administración Tributaria y anexar los datos de la cuenta bancaria a nombre de la persona moral para recibir el financiamiento público y privado correspondiente.</w:t>
            </w:r>
          </w:p>
          <w:p w:rsidR="004C094A" w:rsidRPr="004C094A" w:rsidRDefault="004C094A" w:rsidP="004C094A">
            <w:pPr>
              <w:ind w:firstLine="0"/>
              <w:rPr>
                <w:rFonts w:eastAsia="Calibri"/>
                <w:sz w:val="24"/>
                <w:lang w:val="es-MX" w:eastAsia="en-US"/>
              </w:rPr>
            </w:pPr>
          </w:p>
          <w:p w:rsidR="004C094A" w:rsidRPr="004C094A" w:rsidRDefault="004C094A" w:rsidP="004C094A">
            <w:pPr>
              <w:ind w:firstLine="0"/>
              <w:rPr>
                <w:rFonts w:cs="Arial"/>
                <w:sz w:val="24"/>
                <w:lang w:val="es-ES_tradnl"/>
              </w:rPr>
            </w:pPr>
            <w:r w:rsidRPr="004C094A">
              <w:rPr>
                <w:rFonts w:eastAsia="Calibri"/>
                <w:sz w:val="24"/>
                <w:lang w:val="es-MX" w:eastAsia="en-US"/>
              </w:rPr>
              <w:t>La persona moral a la que se refiere el párrafo anterior deberá estar constituida con por lo menos el aspirante a candidato independiente, su representante legal y el encargado de la administración de los recursos de la candidatura independiente.</w:t>
            </w:r>
          </w:p>
        </w:tc>
      </w:tr>
    </w:tbl>
    <w:p w:rsidR="000337BC" w:rsidRDefault="000337BC" w:rsidP="00384192">
      <w:pPr>
        <w:rPr>
          <w:rFonts w:cs="Arial"/>
          <w:szCs w:val="28"/>
        </w:rPr>
      </w:pPr>
    </w:p>
    <w:p w:rsidR="00BF1D7B" w:rsidRDefault="00BF1D7B" w:rsidP="00BF1D7B">
      <w:pPr>
        <w:rPr>
          <w:rFonts w:cs="Arial"/>
          <w:szCs w:val="28"/>
        </w:rPr>
      </w:pPr>
      <w:r>
        <w:rPr>
          <w:rFonts w:cs="Arial"/>
          <w:szCs w:val="28"/>
        </w:rPr>
        <w:t xml:space="preserve">De la lectura de la disposición normativa transcrita y su reforma </w:t>
      </w:r>
      <w:r w:rsidR="00AD515B">
        <w:rPr>
          <w:rFonts w:cs="Arial"/>
          <w:szCs w:val="28"/>
        </w:rPr>
        <w:t>mediante la cual fue incluido</w:t>
      </w:r>
      <w:r>
        <w:rPr>
          <w:rFonts w:cs="Arial"/>
          <w:szCs w:val="28"/>
        </w:rPr>
        <w:t xml:space="preserve"> el concepto diputación</w:t>
      </w:r>
      <w:r w:rsidR="00AD515B">
        <w:rPr>
          <w:rFonts w:cs="Arial"/>
          <w:szCs w:val="28"/>
        </w:rPr>
        <w:t xml:space="preserve"> en lugar de diputados</w:t>
      </w:r>
      <w:r>
        <w:rPr>
          <w:rFonts w:cs="Arial"/>
          <w:szCs w:val="28"/>
        </w:rPr>
        <w:t xml:space="preserve"> y </w:t>
      </w:r>
      <w:r w:rsidR="00AD515B">
        <w:rPr>
          <w:rFonts w:cs="Arial"/>
          <w:szCs w:val="28"/>
        </w:rPr>
        <w:t xml:space="preserve">añadidos </w:t>
      </w:r>
      <w:r>
        <w:rPr>
          <w:rFonts w:cs="Arial"/>
          <w:szCs w:val="28"/>
        </w:rPr>
        <w:t xml:space="preserve">los candidatos por representación proporcional, este Tribunal Pleno sostiene que hubo un cambio en el sentido normativo </w:t>
      </w:r>
      <w:r w:rsidRPr="006116F2">
        <w:rPr>
          <w:rFonts w:cs="Arial"/>
          <w:szCs w:val="28"/>
        </w:rPr>
        <w:t xml:space="preserve">que </w:t>
      </w:r>
      <w:r>
        <w:rPr>
          <w:rFonts w:cs="Arial"/>
          <w:szCs w:val="28"/>
        </w:rPr>
        <w:t>lleva a</w:t>
      </w:r>
      <w:r w:rsidRPr="006116F2">
        <w:rPr>
          <w:rFonts w:cs="Arial"/>
          <w:szCs w:val="28"/>
        </w:rPr>
        <w:t xml:space="preserve"> considerar que el texto del </w:t>
      </w:r>
      <w:r>
        <w:rPr>
          <w:rFonts w:cs="Arial"/>
          <w:szCs w:val="28"/>
        </w:rPr>
        <w:t xml:space="preserve">artículo </w:t>
      </w:r>
      <w:r w:rsidR="006A7D50">
        <w:rPr>
          <w:rFonts w:cs="Arial"/>
          <w:szCs w:val="28"/>
        </w:rPr>
        <w:t xml:space="preserve">80, párrafo </w:t>
      </w:r>
      <w:r w:rsidR="00E2178A">
        <w:rPr>
          <w:rFonts w:cs="Arial"/>
          <w:szCs w:val="28"/>
        </w:rPr>
        <w:t>segundo y tercero</w:t>
      </w:r>
      <w:r w:rsidR="006A7D50">
        <w:rPr>
          <w:rFonts w:cs="Arial"/>
          <w:szCs w:val="28"/>
        </w:rPr>
        <w:t>,</w:t>
      </w:r>
      <w:r w:rsidRPr="006116F2">
        <w:rPr>
          <w:rFonts w:cs="Arial"/>
          <w:szCs w:val="28"/>
        </w:rPr>
        <w:t xml:space="preserve"> cons</w:t>
      </w:r>
      <w:r w:rsidR="006A7D50">
        <w:rPr>
          <w:rFonts w:cs="Arial"/>
          <w:szCs w:val="28"/>
        </w:rPr>
        <w:t>tituye un nuevo acto legislativ</w:t>
      </w:r>
      <w:r w:rsidRPr="006116F2">
        <w:rPr>
          <w:rFonts w:cs="Arial"/>
          <w:szCs w:val="28"/>
        </w:rPr>
        <w:t>o</w:t>
      </w:r>
      <w:r>
        <w:rPr>
          <w:rFonts w:cs="Arial"/>
          <w:szCs w:val="28"/>
        </w:rPr>
        <w:t>.</w:t>
      </w:r>
    </w:p>
    <w:p w:rsidR="000337BC" w:rsidRDefault="000337BC" w:rsidP="00384192">
      <w:pPr>
        <w:rPr>
          <w:rFonts w:cs="Arial"/>
          <w:szCs w:val="28"/>
        </w:rPr>
      </w:pPr>
    </w:p>
    <w:p w:rsidR="00C14722" w:rsidRDefault="00C14722" w:rsidP="00C14722">
      <w:pPr>
        <w:rPr>
          <w:rFonts w:cs="Arial"/>
          <w:szCs w:val="28"/>
        </w:rPr>
      </w:pPr>
      <w:r>
        <w:rPr>
          <w:rFonts w:cs="Arial"/>
          <w:szCs w:val="28"/>
        </w:rPr>
        <w:t>Por lo tanto, debe</w:t>
      </w:r>
      <w:r w:rsidRPr="003754EE">
        <w:rPr>
          <w:rFonts w:cs="Arial"/>
          <w:szCs w:val="28"/>
        </w:rPr>
        <w:t xml:space="preserve"> sobreseer</w:t>
      </w:r>
      <w:r>
        <w:rPr>
          <w:rFonts w:cs="Arial"/>
          <w:szCs w:val="28"/>
        </w:rPr>
        <w:t>se</w:t>
      </w:r>
      <w:r w:rsidRPr="003754EE">
        <w:rPr>
          <w:rFonts w:cs="Arial"/>
          <w:szCs w:val="28"/>
        </w:rPr>
        <w:t xml:space="preserve"> </w:t>
      </w:r>
      <w:r>
        <w:rPr>
          <w:rFonts w:cs="Arial"/>
          <w:szCs w:val="28"/>
        </w:rPr>
        <w:t>en esta acción de inconstitucionalidad</w:t>
      </w:r>
      <w:r w:rsidRPr="003754EE">
        <w:rPr>
          <w:rFonts w:cs="Arial"/>
          <w:szCs w:val="28"/>
        </w:rPr>
        <w:t xml:space="preserve"> respecto del artículo </w:t>
      </w:r>
      <w:r>
        <w:rPr>
          <w:rFonts w:cs="Arial"/>
          <w:szCs w:val="28"/>
        </w:rPr>
        <w:t>80, párrafo</w:t>
      </w:r>
      <w:r w:rsidR="00953B41">
        <w:rPr>
          <w:rFonts w:cs="Arial"/>
          <w:szCs w:val="28"/>
        </w:rPr>
        <w:t>s</w:t>
      </w:r>
      <w:r>
        <w:rPr>
          <w:rFonts w:cs="Arial"/>
          <w:szCs w:val="28"/>
        </w:rPr>
        <w:t xml:space="preserve"> </w:t>
      </w:r>
      <w:r w:rsidR="00953B41">
        <w:rPr>
          <w:rFonts w:cs="Arial"/>
          <w:szCs w:val="28"/>
        </w:rPr>
        <w:t xml:space="preserve">segundo y </w:t>
      </w:r>
      <w:r>
        <w:rPr>
          <w:rFonts w:cs="Arial"/>
          <w:szCs w:val="28"/>
        </w:rPr>
        <w:t>tercero,</w:t>
      </w:r>
      <w:r>
        <w:t xml:space="preserve"> </w:t>
      </w:r>
      <w:r>
        <w:rPr>
          <w:rFonts w:cs="Arial"/>
          <w:szCs w:val="28"/>
        </w:rPr>
        <w:t>de la Ley de Instituciones y Procedimientos Electorales del Estado de Sinaloa</w:t>
      </w:r>
      <w:r w:rsidRPr="003754EE">
        <w:rPr>
          <w:rFonts w:cs="Arial"/>
          <w:szCs w:val="28"/>
        </w:rPr>
        <w:t xml:space="preserve">, en términos de lo dispuesto en el artículo 19, fracción V, de la </w:t>
      </w:r>
      <w:r w:rsidRPr="0055606B">
        <w:t>Ley Reglamentaria de las Fracciones I y II del Artículo 105 de la Constitución Política de los Estados Unidos Mexicanos</w:t>
      </w:r>
      <w:r w:rsidRPr="003754EE">
        <w:rPr>
          <w:rFonts w:cs="Arial"/>
          <w:szCs w:val="28"/>
        </w:rPr>
        <w:t>, pues la</w:t>
      </w:r>
      <w:r>
        <w:rPr>
          <w:rFonts w:cs="Arial"/>
          <w:szCs w:val="28"/>
        </w:rPr>
        <w:t xml:space="preserve"> reforma referida ocasionó</w:t>
      </w:r>
      <w:r w:rsidRPr="003754EE">
        <w:rPr>
          <w:rFonts w:cs="Arial"/>
          <w:szCs w:val="28"/>
        </w:rPr>
        <w:t xml:space="preserve"> que cesaran los efectos de </w:t>
      </w:r>
      <w:r>
        <w:rPr>
          <w:rFonts w:cs="Arial"/>
          <w:szCs w:val="28"/>
        </w:rPr>
        <w:t>las disposiciones impugnadas.</w:t>
      </w:r>
    </w:p>
    <w:p w:rsidR="00C14722" w:rsidRDefault="00C14722" w:rsidP="00384192">
      <w:pPr>
        <w:rPr>
          <w:rFonts w:cs="Arial"/>
          <w:szCs w:val="28"/>
        </w:rPr>
      </w:pPr>
    </w:p>
    <w:p w:rsidR="00C14722" w:rsidRDefault="00C14722" w:rsidP="00C14722">
      <w:pPr>
        <w:rPr>
          <w:rFonts w:cs="Arial"/>
          <w:szCs w:val="28"/>
        </w:rPr>
      </w:pPr>
      <w:r>
        <w:rPr>
          <w:rFonts w:cs="Arial"/>
          <w:szCs w:val="28"/>
        </w:rPr>
        <w:t xml:space="preserve">Asimismo, en el caso también es aplicable la causa de improcedencia por cesación de efectos respecto del artículo </w:t>
      </w:r>
      <w:r>
        <w:t>36</w:t>
      </w:r>
      <w:r w:rsidRPr="00B2248B">
        <w:t xml:space="preserve">, párrafo </w:t>
      </w:r>
      <w:r>
        <w:t>segundo, impugnado por el partido demandante, en tanto que dicho párrafo fue modificado mediante el decreto 505, publicado el catorce de septiembre de dos mil veinte.</w:t>
      </w:r>
      <w:r>
        <w:rPr>
          <w:rFonts w:cs="Arial"/>
          <w:szCs w:val="28"/>
        </w:rPr>
        <w:t xml:space="preserve"> Las disposiciones </w:t>
      </w:r>
      <w:r>
        <w:rPr>
          <w:rFonts w:cs="Arial"/>
          <w:szCs w:val="28"/>
        </w:rPr>
        <w:lastRenderedPageBreak/>
        <w:t>normativas impugnada y como producto de la reforma recién referida son del tenor siguiente</w:t>
      </w:r>
      <w:r w:rsidR="00162519">
        <w:rPr>
          <w:rFonts w:cs="Arial"/>
          <w:szCs w:val="28"/>
        </w:rPr>
        <w:t>:</w:t>
      </w:r>
    </w:p>
    <w:p w:rsidR="000337BC" w:rsidRDefault="000337BC" w:rsidP="00384192">
      <w:pPr>
        <w:rPr>
          <w:rFonts w:cs="Arial"/>
          <w:szCs w:val="28"/>
        </w:rPr>
      </w:pPr>
    </w:p>
    <w:tbl>
      <w:tblPr>
        <w:tblStyle w:val="Tablaconcuadrcula1"/>
        <w:tblW w:w="0" w:type="auto"/>
        <w:tblLook w:val="04A0" w:firstRow="1" w:lastRow="0" w:firstColumn="1" w:lastColumn="0" w:noHBand="0" w:noVBand="1"/>
      </w:tblPr>
      <w:tblGrid>
        <w:gridCol w:w="4290"/>
        <w:gridCol w:w="4254"/>
      </w:tblGrid>
      <w:tr w:rsidR="00C14722" w:rsidRPr="000D4BB6" w:rsidTr="006317F0">
        <w:tc>
          <w:tcPr>
            <w:tcW w:w="4290" w:type="dxa"/>
            <w:shd w:val="clear" w:color="auto" w:fill="D9D9D9"/>
          </w:tcPr>
          <w:p w:rsidR="00C14722" w:rsidRPr="000D4BB6" w:rsidRDefault="00C14722" w:rsidP="006317F0">
            <w:pPr>
              <w:ind w:firstLine="0"/>
              <w:jc w:val="center"/>
              <w:rPr>
                <w:rFonts w:cs="Arial"/>
                <w:b/>
                <w:sz w:val="24"/>
                <w:lang w:val="es-ES_tradnl"/>
              </w:rPr>
            </w:pPr>
            <w:r w:rsidRPr="000D4BB6">
              <w:rPr>
                <w:rFonts w:cs="Arial"/>
                <w:b/>
                <w:sz w:val="24"/>
                <w:lang w:val="es-ES_tradnl"/>
              </w:rPr>
              <w:t xml:space="preserve">Texto del artículo </w:t>
            </w:r>
            <w:r>
              <w:rPr>
                <w:rFonts w:cs="Arial"/>
                <w:b/>
                <w:sz w:val="24"/>
                <w:lang w:val="es-ES_tradnl"/>
              </w:rPr>
              <w:t>impugnado</w:t>
            </w:r>
          </w:p>
        </w:tc>
        <w:tc>
          <w:tcPr>
            <w:tcW w:w="4254" w:type="dxa"/>
            <w:shd w:val="clear" w:color="auto" w:fill="D9D9D9"/>
          </w:tcPr>
          <w:p w:rsidR="00C14722" w:rsidRPr="000D4BB6" w:rsidRDefault="00C14722" w:rsidP="006317F0">
            <w:pPr>
              <w:ind w:firstLine="0"/>
              <w:jc w:val="center"/>
              <w:rPr>
                <w:rFonts w:cs="Arial"/>
                <w:b/>
                <w:sz w:val="24"/>
                <w:lang w:val="es-ES_tradnl"/>
              </w:rPr>
            </w:pPr>
            <w:r w:rsidRPr="000D4BB6">
              <w:rPr>
                <w:rFonts w:cs="Arial"/>
                <w:b/>
                <w:sz w:val="24"/>
                <w:lang w:val="es-ES_tradnl"/>
              </w:rPr>
              <w:t>Texto del artículo reformado</w:t>
            </w:r>
            <w:r>
              <w:rPr>
                <w:rFonts w:cs="Arial"/>
                <w:b/>
                <w:sz w:val="24"/>
                <w:lang w:val="es-ES_tradnl"/>
              </w:rPr>
              <w:t xml:space="preserve"> mediante el decreto 505</w:t>
            </w:r>
          </w:p>
        </w:tc>
      </w:tr>
      <w:tr w:rsidR="00DC24B5" w:rsidRPr="000D4BB6" w:rsidTr="006317F0">
        <w:tc>
          <w:tcPr>
            <w:tcW w:w="4290" w:type="dxa"/>
          </w:tcPr>
          <w:p w:rsidR="00DC24B5" w:rsidRPr="00DC24B5" w:rsidRDefault="00DC24B5" w:rsidP="00DC24B5">
            <w:pPr>
              <w:ind w:firstLine="0"/>
              <w:rPr>
                <w:rFonts w:eastAsia="Calibri"/>
                <w:sz w:val="24"/>
                <w:lang w:val="es-MX" w:eastAsia="en-US"/>
              </w:rPr>
            </w:pPr>
            <w:r w:rsidRPr="00DC24B5">
              <w:rPr>
                <w:rFonts w:eastAsia="Calibri"/>
                <w:sz w:val="24"/>
                <w:lang w:val="es-MX" w:eastAsia="en-US"/>
              </w:rPr>
              <w:t xml:space="preserve">Artículo 36. Los partidos políticos nacionales tienen derecho de participar en las elecciones estatales y municipales en los términos del artículo 41, párrafo cuarto, fracción I de la Constitución y en los establecidos en esta ley. </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b/>
                <w:sz w:val="24"/>
                <w:lang w:val="es-MX" w:eastAsia="en-US"/>
              </w:rPr>
            </w:pPr>
            <w:r w:rsidRPr="00DC24B5">
              <w:rPr>
                <w:rFonts w:eastAsia="Calibri"/>
                <w:b/>
                <w:sz w:val="24"/>
                <w:lang w:val="es-MX" w:eastAsia="en-US"/>
              </w:rPr>
              <w:t>Para el ejercicio del derecho reconocido en el párrafo anterior, bastará que cada partido político nacional lo manifieste por escrito al Instituto, dentro de los quince días posteriores a la publicación de la convocatoria a elecciones que expida el Congreso del Estado, proporcionando:</w:t>
            </w:r>
          </w:p>
          <w:p w:rsidR="00DC24B5" w:rsidRPr="00DC24B5" w:rsidRDefault="00DC24B5" w:rsidP="00DC24B5">
            <w:pPr>
              <w:ind w:firstLine="0"/>
              <w:rPr>
                <w:rFonts w:eastAsia="Calibri"/>
                <w:b/>
                <w:sz w:val="24"/>
                <w:lang w:val="es-MX" w:eastAsia="en-US"/>
              </w:rPr>
            </w:pPr>
          </w:p>
          <w:p w:rsidR="00DC24B5" w:rsidRPr="00DC24B5" w:rsidRDefault="00DC24B5" w:rsidP="00DC24B5">
            <w:pPr>
              <w:ind w:firstLine="0"/>
              <w:rPr>
                <w:rFonts w:eastAsia="Calibri"/>
                <w:b/>
                <w:sz w:val="24"/>
                <w:lang w:val="es-MX" w:eastAsia="en-US"/>
              </w:rPr>
            </w:pPr>
            <w:r w:rsidRPr="00DC24B5">
              <w:rPr>
                <w:rFonts w:eastAsia="Calibri"/>
                <w:b/>
                <w:sz w:val="24"/>
                <w:lang w:val="es-MX" w:eastAsia="en-US"/>
              </w:rPr>
              <w:t>I. El domicilio para notificaciones en la capital del Estado, al que se remitirán también las convocatorias a sesiones del Consejo General y de las comisiones de trabajo, así como cualquier otro aviso que se requiera;</w:t>
            </w:r>
          </w:p>
          <w:p w:rsidR="00DC24B5" w:rsidRPr="00DC24B5" w:rsidRDefault="00DC24B5" w:rsidP="00DC24B5">
            <w:pPr>
              <w:ind w:firstLine="0"/>
              <w:rPr>
                <w:rFonts w:eastAsia="Calibri"/>
                <w:b/>
                <w:sz w:val="24"/>
                <w:lang w:val="es-MX" w:eastAsia="en-US"/>
              </w:rPr>
            </w:pPr>
          </w:p>
          <w:p w:rsidR="00DC24B5" w:rsidRPr="00DC24B5" w:rsidRDefault="00DC24B5" w:rsidP="00DC24B5">
            <w:pPr>
              <w:ind w:firstLine="0"/>
              <w:rPr>
                <w:rFonts w:eastAsia="Calibri"/>
                <w:b/>
                <w:sz w:val="24"/>
                <w:lang w:val="es-MX" w:eastAsia="en-US"/>
              </w:rPr>
            </w:pPr>
            <w:r w:rsidRPr="00DC24B5">
              <w:rPr>
                <w:rFonts w:eastAsia="Calibri"/>
                <w:b/>
                <w:sz w:val="24"/>
                <w:lang w:val="es-MX" w:eastAsia="en-US"/>
              </w:rPr>
              <w:t>II.</w:t>
            </w:r>
            <w:r w:rsidRPr="00DC24B5">
              <w:rPr>
                <w:rFonts w:eastAsia="Calibri"/>
                <w:b/>
                <w:sz w:val="24"/>
                <w:lang w:val="es-MX" w:eastAsia="en-US"/>
              </w:rPr>
              <w:tab/>
              <w:t>El directorio de integrantes de su dirigencia y demás órganos internos estatales, incluyendo teléfonos y correos electrónicos de contacto; y</w:t>
            </w:r>
          </w:p>
          <w:p w:rsidR="00DC24B5" w:rsidRPr="00DC24B5" w:rsidRDefault="00DC24B5" w:rsidP="00DC24B5">
            <w:pPr>
              <w:ind w:firstLine="0"/>
              <w:rPr>
                <w:rFonts w:eastAsia="Calibri"/>
                <w:b/>
                <w:sz w:val="24"/>
                <w:lang w:val="es-MX" w:eastAsia="en-US"/>
              </w:rPr>
            </w:pPr>
          </w:p>
          <w:p w:rsidR="00DC24B5" w:rsidRPr="00DC24B5" w:rsidRDefault="00DC24B5" w:rsidP="00DC24B5">
            <w:pPr>
              <w:ind w:firstLine="0"/>
              <w:rPr>
                <w:rFonts w:eastAsia="Calibri"/>
                <w:b/>
                <w:sz w:val="24"/>
                <w:lang w:val="es-MX" w:eastAsia="en-US"/>
              </w:rPr>
            </w:pPr>
            <w:r w:rsidRPr="00DC24B5">
              <w:rPr>
                <w:rFonts w:eastAsia="Calibri"/>
                <w:b/>
                <w:sz w:val="24"/>
                <w:lang w:val="es-MX" w:eastAsia="en-US"/>
              </w:rPr>
              <w:t>III.</w:t>
            </w:r>
            <w:r w:rsidRPr="00DC24B5">
              <w:rPr>
                <w:rFonts w:eastAsia="Calibri"/>
                <w:b/>
                <w:sz w:val="24"/>
                <w:lang w:val="es-MX" w:eastAsia="en-US"/>
              </w:rPr>
              <w:tab/>
              <w:t>El directorio de dirigencias y órganos municipales que tenga integrados.</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Pr>
                <w:rFonts w:eastAsia="Calibri"/>
                <w:sz w:val="24"/>
                <w:lang w:val="es-MX" w:eastAsia="en-US"/>
              </w:rPr>
              <w:t>Derogado.</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 xml:space="preserve">Derogado. </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 xml:space="preserve">Derogado. </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 xml:space="preserve">Derogado. </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El Instituto en esta materia, tendrá en todo momento la obligación de integrar un expediente del asunto y resguardarlo.</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La información que en esta materia obre en el Instituto se considerará pública y por tanto a ella podrán tener acceso los ciudadanos conforme a los lineamientos que el Instituto defina al efecto.</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b/>
                <w:sz w:val="24"/>
                <w:lang w:val="es-MX" w:eastAsia="en-US"/>
              </w:rPr>
            </w:pPr>
            <w:r w:rsidRPr="00DC24B5">
              <w:rPr>
                <w:rFonts w:eastAsia="Calibri"/>
                <w:b/>
                <w:sz w:val="24"/>
                <w:lang w:val="es-MX" w:eastAsia="en-US"/>
              </w:rPr>
              <w:t>Dentro del primer mes del proceso electoral ordinario, el Instituto ordenará publicar en el Periódico Oficial del Estado, el listado de partidos políticos nacionales y locales que participarán en la elección.</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eastAsia="en-US"/>
              </w:rPr>
            </w:pPr>
            <w:r>
              <w:rPr>
                <w:rFonts w:eastAsia="Calibri"/>
                <w:sz w:val="24"/>
                <w:lang w:val="es-MX" w:eastAsia="en-US"/>
              </w:rPr>
              <w:t>Derogado.</w:t>
            </w:r>
          </w:p>
        </w:tc>
        <w:tc>
          <w:tcPr>
            <w:tcW w:w="4254" w:type="dxa"/>
          </w:tcPr>
          <w:p w:rsidR="00DC24B5" w:rsidRPr="00DC24B5" w:rsidRDefault="00DC24B5" w:rsidP="00DC24B5">
            <w:pPr>
              <w:ind w:firstLine="0"/>
              <w:rPr>
                <w:rFonts w:eastAsia="Calibri"/>
                <w:sz w:val="24"/>
                <w:lang w:val="es-MX" w:eastAsia="en-US"/>
              </w:rPr>
            </w:pPr>
            <w:r w:rsidRPr="00DC24B5">
              <w:rPr>
                <w:rFonts w:eastAsia="Calibri"/>
                <w:sz w:val="24"/>
                <w:lang w:val="es-MX" w:eastAsia="en-US"/>
              </w:rPr>
              <w:lastRenderedPageBreak/>
              <w:t xml:space="preserve">Artículo 36. Los partidos políticos nacionales tienen derecho de participar en las elecciones estatales y municipales en los términos del artículo 41, párrafo cuarto, fracción I de la Constitución y en los establecidos en esta ley. </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Para el ejercicio del derecho reconocido en el párrafo anterior, bastará que cada partido político nacional lo manifieste por escrito al Instituto, dentro de los quince días posteriores a la publicación de la convocatoria a elecciones que expida el Congreso del Estado, proporcionando:</w:t>
            </w:r>
          </w:p>
          <w:p w:rsidR="00DC24B5" w:rsidRPr="00DC24B5" w:rsidRDefault="00DC24B5" w:rsidP="00DC24B5">
            <w:pPr>
              <w:ind w:firstLine="0"/>
              <w:rPr>
                <w:rFonts w:eastAsia="Calibri"/>
                <w:sz w:val="24"/>
                <w:lang w:val="es-MX" w:eastAsia="en-US"/>
              </w:rPr>
            </w:pPr>
          </w:p>
          <w:p w:rsidR="00DC24B5" w:rsidRPr="00DC24B5" w:rsidRDefault="00AD515B" w:rsidP="00DC24B5">
            <w:pPr>
              <w:ind w:firstLine="0"/>
              <w:rPr>
                <w:rFonts w:eastAsia="Calibri"/>
                <w:b/>
                <w:bCs/>
                <w:sz w:val="24"/>
                <w:lang w:val="es-MX" w:eastAsia="en-US"/>
              </w:rPr>
            </w:pPr>
            <w:r>
              <w:rPr>
                <w:rFonts w:eastAsia="Calibri"/>
                <w:b/>
                <w:bCs/>
                <w:sz w:val="24"/>
                <w:lang w:val="es-MX" w:eastAsia="en-US"/>
              </w:rPr>
              <w:t xml:space="preserve">I. </w:t>
            </w:r>
            <w:r w:rsidR="00DC24B5" w:rsidRPr="00DC24B5">
              <w:rPr>
                <w:rFonts w:eastAsia="Calibri"/>
                <w:b/>
                <w:bCs/>
                <w:sz w:val="24"/>
                <w:lang w:val="es-MX" w:eastAsia="en-US"/>
              </w:rPr>
              <w:t>El domicilio para notificaciones en la capital del Estado, al que se remitirán también las convocatorias a sesiones del Consejo General y de las comisiones de trabajo, así como cualquier otro aviso que se requiera, y, en su caso, una dirección de correo electrónico válida, en caso de solicitar la recepción de notificación electrónica, cumpliendo con el procedimiento que al efecto establezca el Pleno;</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II.</w:t>
            </w:r>
            <w:r w:rsidRPr="00DC24B5">
              <w:rPr>
                <w:rFonts w:eastAsia="Calibri"/>
                <w:sz w:val="24"/>
                <w:lang w:val="es-MX" w:eastAsia="en-US"/>
              </w:rPr>
              <w:tab/>
              <w:t>El directorio de integrantes de su dirigencia y demás órganos internos estatales, incluyendo teléfonos y correos electrónicos de contacto; y</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III.</w:t>
            </w:r>
            <w:r w:rsidRPr="00DC24B5">
              <w:rPr>
                <w:rFonts w:eastAsia="Calibri"/>
                <w:sz w:val="24"/>
                <w:lang w:val="es-MX" w:eastAsia="en-US"/>
              </w:rPr>
              <w:tab/>
              <w:t>El directorio de dirigencias y órganos municipales que tenga integrados.</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Pr>
                <w:rFonts w:eastAsia="Calibri"/>
                <w:sz w:val="24"/>
                <w:lang w:val="es-MX" w:eastAsia="en-US"/>
              </w:rPr>
              <w:t>Derogado.</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 xml:space="preserve">Derogado. </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 xml:space="preserve">Derogado. </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 xml:space="preserve">Derogado. </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El Instituto en esta materia, tendrá en todo momento la obligación de integrar un expediente del asunto y resguardarlo.</w:t>
            </w:r>
          </w:p>
          <w:p w:rsidR="00DC24B5" w:rsidRPr="00DC24B5" w:rsidRDefault="00DC24B5" w:rsidP="00DC24B5">
            <w:pPr>
              <w:ind w:firstLine="0"/>
              <w:rPr>
                <w:rFonts w:eastAsia="Calibri"/>
                <w:sz w:val="24"/>
                <w:lang w:val="es-MX" w:eastAsia="en-US"/>
              </w:rPr>
            </w:pPr>
          </w:p>
          <w:p w:rsidR="00DC24B5" w:rsidRPr="00DC24B5" w:rsidRDefault="00DC24B5" w:rsidP="00DC24B5">
            <w:pPr>
              <w:ind w:firstLine="0"/>
              <w:rPr>
                <w:rFonts w:eastAsia="Calibri"/>
                <w:sz w:val="24"/>
                <w:lang w:val="es-MX" w:eastAsia="en-US"/>
              </w:rPr>
            </w:pPr>
            <w:r w:rsidRPr="00DC24B5">
              <w:rPr>
                <w:rFonts w:eastAsia="Calibri"/>
                <w:sz w:val="24"/>
                <w:lang w:val="es-MX" w:eastAsia="en-US"/>
              </w:rPr>
              <w:t>La información que en esta materia obre en el Instituto se considerará pública y por tanto a ella podrán tener acceso los ciudadanos conforme a los lineamientos que el Instituto defina al efecto.</w:t>
            </w:r>
          </w:p>
          <w:p w:rsidR="00DC24B5" w:rsidRPr="00DC24B5" w:rsidRDefault="00DC24B5" w:rsidP="00DC24B5">
            <w:pPr>
              <w:ind w:firstLine="0"/>
              <w:rPr>
                <w:rFonts w:eastAsia="Calibri"/>
                <w:sz w:val="24"/>
                <w:lang w:val="es-MX" w:eastAsia="en-US"/>
              </w:rPr>
            </w:pPr>
          </w:p>
          <w:p w:rsidR="00DC24B5" w:rsidRDefault="00DC24B5" w:rsidP="00DC24B5">
            <w:pPr>
              <w:ind w:firstLine="0"/>
              <w:rPr>
                <w:rFonts w:eastAsia="Calibri"/>
                <w:sz w:val="24"/>
                <w:lang w:val="es-MX" w:eastAsia="en-US"/>
              </w:rPr>
            </w:pPr>
            <w:r w:rsidRPr="00DC24B5">
              <w:rPr>
                <w:rFonts w:eastAsia="Calibri"/>
                <w:sz w:val="24"/>
                <w:lang w:val="es-MX" w:eastAsia="en-US"/>
              </w:rPr>
              <w:t xml:space="preserve">Dentro del primer mes del proceso electoral ordinario, el Instituto ordenará publicar en el Periódico Oficial del Estado, el listado de partidos políticos nacionales y locales que participarán en la elección. </w:t>
            </w:r>
          </w:p>
          <w:p w:rsidR="00DC24B5" w:rsidRDefault="00DC24B5" w:rsidP="00DC24B5">
            <w:pPr>
              <w:ind w:firstLine="0"/>
              <w:rPr>
                <w:rFonts w:eastAsia="Calibri"/>
                <w:sz w:val="24"/>
                <w:lang w:val="es-MX" w:eastAsia="en-US"/>
              </w:rPr>
            </w:pPr>
          </w:p>
          <w:p w:rsidR="00DC24B5" w:rsidRPr="00DC24B5" w:rsidRDefault="00DC24B5" w:rsidP="00DC24B5">
            <w:pPr>
              <w:ind w:firstLine="0"/>
              <w:rPr>
                <w:rFonts w:cs="Arial"/>
                <w:sz w:val="24"/>
                <w:lang w:val="es-ES_tradnl"/>
              </w:rPr>
            </w:pPr>
            <w:r>
              <w:rPr>
                <w:rFonts w:eastAsia="Calibri"/>
                <w:sz w:val="24"/>
                <w:lang w:val="es-MX" w:eastAsia="en-US"/>
              </w:rPr>
              <w:t>Derogado.</w:t>
            </w:r>
          </w:p>
        </w:tc>
      </w:tr>
    </w:tbl>
    <w:p w:rsidR="00C14722" w:rsidRDefault="00C14722" w:rsidP="00384192">
      <w:pPr>
        <w:rPr>
          <w:rFonts w:cs="Arial"/>
          <w:szCs w:val="28"/>
        </w:rPr>
      </w:pPr>
    </w:p>
    <w:p w:rsidR="00A37DD4" w:rsidRDefault="00A37DD4" w:rsidP="00A37DD4">
      <w:pPr>
        <w:rPr>
          <w:rFonts w:cs="Arial"/>
          <w:szCs w:val="28"/>
        </w:rPr>
      </w:pPr>
      <w:r w:rsidRPr="000301E4">
        <w:rPr>
          <w:rFonts w:cs="Arial"/>
          <w:szCs w:val="28"/>
        </w:rPr>
        <w:t xml:space="preserve">De la disposición normativa transcrita y su reforma posterior en la cual fue </w:t>
      </w:r>
      <w:r w:rsidR="00E2178A" w:rsidRPr="000301E4">
        <w:rPr>
          <w:rFonts w:cs="Arial"/>
          <w:szCs w:val="28"/>
        </w:rPr>
        <w:t>modificada</w:t>
      </w:r>
      <w:r w:rsidRPr="000301E4">
        <w:rPr>
          <w:rFonts w:cs="Arial"/>
          <w:szCs w:val="28"/>
        </w:rPr>
        <w:t xml:space="preserve"> para incluir </w:t>
      </w:r>
      <w:r w:rsidR="00AD515B" w:rsidRPr="000301E4">
        <w:rPr>
          <w:rFonts w:cs="Arial"/>
          <w:szCs w:val="28"/>
        </w:rPr>
        <w:t>la posibilidad de recibir notificaciones electrónicas</w:t>
      </w:r>
      <w:r w:rsidRPr="000301E4">
        <w:rPr>
          <w:rFonts w:cs="Arial"/>
          <w:szCs w:val="28"/>
        </w:rPr>
        <w:t xml:space="preserve">, este Tribunal Pleno sostiene que hubo un cambio en el sentido normativo que lleva a considerar que el texto del artículo </w:t>
      </w:r>
      <w:r w:rsidR="00AD515B" w:rsidRPr="000301E4">
        <w:rPr>
          <w:rFonts w:cs="Arial"/>
          <w:szCs w:val="28"/>
        </w:rPr>
        <w:t>36</w:t>
      </w:r>
      <w:r w:rsidRPr="000301E4">
        <w:rPr>
          <w:rFonts w:cs="Arial"/>
          <w:szCs w:val="28"/>
        </w:rPr>
        <w:t xml:space="preserve">, párrafo </w:t>
      </w:r>
      <w:r w:rsidR="00AD515B" w:rsidRPr="000301E4">
        <w:rPr>
          <w:rFonts w:cs="Arial"/>
          <w:szCs w:val="28"/>
        </w:rPr>
        <w:t>segundo</w:t>
      </w:r>
      <w:r w:rsidRPr="000301E4">
        <w:rPr>
          <w:rFonts w:cs="Arial"/>
          <w:szCs w:val="28"/>
        </w:rPr>
        <w:t xml:space="preserve">, </w:t>
      </w:r>
      <w:r w:rsidR="0030446D" w:rsidRPr="000301E4">
        <w:rPr>
          <w:rFonts w:cs="Arial"/>
          <w:szCs w:val="28"/>
        </w:rPr>
        <w:t xml:space="preserve">fracción primera, </w:t>
      </w:r>
      <w:r w:rsidRPr="000301E4">
        <w:rPr>
          <w:rFonts w:cs="Arial"/>
          <w:szCs w:val="28"/>
        </w:rPr>
        <w:t>constituye un nuevo acto legislativo</w:t>
      </w:r>
      <w:r w:rsidR="000301E4" w:rsidRPr="000301E4">
        <w:rPr>
          <w:rFonts w:cs="Arial"/>
          <w:szCs w:val="28"/>
        </w:rPr>
        <w:t xml:space="preserve"> que modifica el sentido normativo de todo el artículo</w:t>
      </w:r>
      <w:r w:rsidRPr="000301E4">
        <w:rPr>
          <w:rFonts w:cs="Arial"/>
          <w:szCs w:val="28"/>
        </w:rPr>
        <w:t>.</w:t>
      </w:r>
      <w:r w:rsidR="006E2FE9" w:rsidRPr="000301E4">
        <w:rPr>
          <w:rFonts w:cs="Arial"/>
          <w:szCs w:val="28"/>
        </w:rPr>
        <w:t xml:space="preserve"> </w:t>
      </w:r>
    </w:p>
    <w:p w:rsidR="00A37DD4" w:rsidRDefault="00A37DD4" w:rsidP="00A37DD4">
      <w:pPr>
        <w:rPr>
          <w:rFonts w:cs="Arial"/>
          <w:szCs w:val="28"/>
        </w:rPr>
      </w:pPr>
    </w:p>
    <w:p w:rsidR="00A37DD4" w:rsidRDefault="00A37DD4" w:rsidP="00A37DD4">
      <w:pPr>
        <w:rPr>
          <w:rFonts w:cs="Arial"/>
          <w:szCs w:val="28"/>
        </w:rPr>
      </w:pPr>
      <w:r>
        <w:rPr>
          <w:rFonts w:cs="Arial"/>
          <w:szCs w:val="28"/>
        </w:rPr>
        <w:t>Por lo tanto, debe</w:t>
      </w:r>
      <w:r w:rsidRPr="003754EE">
        <w:rPr>
          <w:rFonts w:cs="Arial"/>
          <w:szCs w:val="28"/>
        </w:rPr>
        <w:t xml:space="preserve"> sobreseer</w:t>
      </w:r>
      <w:r>
        <w:rPr>
          <w:rFonts w:cs="Arial"/>
          <w:szCs w:val="28"/>
        </w:rPr>
        <w:t>se</w:t>
      </w:r>
      <w:r w:rsidRPr="003754EE">
        <w:rPr>
          <w:rFonts w:cs="Arial"/>
          <w:szCs w:val="28"/>
        </w:rPr>
        <w:t xml:space="preserve"> </w:t>
      </w:r>
      <w:r>
        <w:rPr>
          <w:rFonts w:cs="Arial"/>
          <w:szCs w:val="28"/>
        </w:rPr>
        <w:t>en esta acción de inconstitucionalidad</w:t>
      </w:r>
      <w:r w:rsidRPr="003754EE">
        <w:rPr>
          <w:rFonts w:cs="Arial"/>
          <w:szCs w:val="28"/>
        </w:rPr>
        <w:t xml:space="preserve"> respecto del artículo </w:t>
      </w:r>
      <w:r w:rsidR="00AD515B">
        <w:rPr>
          <w:rFonts w:cs="Arial"/>
          <w:szCs w:val="28"/>
        </w:rPr>
        <w:t>36</w:t>
      </w:r>
      <w:r>
        <w:rPr>
          <w:rFonts w:cs="Arial"/>
          <w:szCs w:val="28"/>
        </w:rPr>
        <w:t>, párrafo</w:t>
      </w:r>
      <w:r w:rsidR="00FC4BEC">
        <w:rPr>
          <w:rFonts w:cs="Arial"/>
          <w:szCs w:val="28"/>
        </w:rPr>
        <w:t>s</w:t>
      </w:r>
      <w:r>
        <w:rPr>
          <w:rFonts w:cs="Arial"/>
          <w:szCs w:val="28"/>
        </w:rPr>
        <w:t xml:space="preserve"> </w:t>
      </w:r>
      <w:r w:rsidR="00AD515B">
        <w:rPr>
          <w:rFonts w:cs="Arial"/>
          <w:szCs w:val="28"/>
        </w:rPr>
        <w:t>segundo</w:t>
      </w:r>
      <w:r>
        <w:rPr>
          <w:rFonts w:cs="Arial"/>
          <w:szCs w:val="28"/>
        </w:rPr>
        <w:t>,</w:t>
      </w:r>
      <w:r>
        <w:t xml:space="preserve"> </w:t>
      </w:r>
      <w:r>
        <w:rPr>
          <w:rFonts w:cs="Arial"/>
          <w:szCs w:val="28"/>
        </w:rPr>
        <w:t>de la Ley de Instituciones y Procedimientos Electorales del Estado de Sinaloa</w:t>
      </w:r>
      <w:r w:rsidRPr="003754EE">
        <w:rPr>
          <w:rFonts w:cs="Arial"/>
          <w:szCs w:val="28"/>
        </w:rPr>
        <w:t xml:space="preserve">, </w:t>
      </w:r>
      <w:r w:rsidR="000301E4">
        <w:rPr>
          <w:rFonts w:cs="Arial"/>
          <w:szCs w:val="28"/>
        </w:rPr>
        <w:t xml:space="preserve">así como la derogación de sus párrafos </w:t>
      </w:r>
      <w:r w:rsidR="000301E4" w:rsidRPr="00357B63">
        <w:t>tercero, cuarto, quinto, sexto y décimo</w:t>
      </w:r>
      <w:r w:rsidR="000301E4">
        <w:t>,</w:t>
      </w:r>
      <w:r w:rsidR="000301E4">
        <w:rPr>
          <w:rFonts w:cs="Arial"/>
          <w:szCs w:val="28"/>
        </w:rPr>
        <w:t xml:space="preserve"> </w:t>
      </w:r>
      <w:r w:rsidRPr="003754EE">
        <w:rPr>
          <w:rFonts w:cs="Arial"/>
          <w:szCs w:val="28"/>
        </w:rPr>
        <w:t xml:space="preserve">en términos de lo dispuesto en el artículo 19, fracción V, de la </w:t>
      </w:r>
      <w:r w:rsidRPr="0055606B">
        <w:t>Ley Reglamentaria de las Fracciones I y II del Artículo 105 de la Constitución Política de los Estados Unidos Mexicanos</w:t>
      </w:r>
      <w:r w:rsidRPr="003754EE">
        <w:rPr>
          <w:rFonts w:cs="Arial"/>
          <w:szCs w:val="28"/>
        </w:rPr>
        <w:t>, pues la</w:t>
      </w:r>
      <w:r>
        <w:rPr>
          <w:rFonts w:cs="Arial"/>
          <w:szCs w:val="28"/>
        </w:rPr>
        <w:t xml:space="preserve"> reforma referida ocasionó</w:t>
      </w:r>
      <w:r w:rsidRPr="003754EE">
        <w:rPr>
          <w:rFonts w:cs="Arial"/>
          <w:szCs w:val="28"/>
        </w:rPr>
        <w:t xml:space="preserve"> que cesaran los efectos de </w:t>
      </w:r>
      <w:r>
        <w:rPr>
          <w:rFonts w:cs="Arial"/>
          <w:szCs w:val="28"/>
        </w:rPr>
        <w:t>las disposiciones impugnadas.</w:t>
      </w:r>
    </w:p>
    <w:p w:rsidR="00A37DD4" w:rsidRDefault="00A37DD4" w:rsidP="00A37DD4">
      <w:pPr>
        <w:rPr>
          <w:rFonts w:cs="Arial"/>
          <w:szCs w:val="28"/>
        </w:rPr>
      </w:pPr>
    </w:p>
    <w:p w:rsidR="008A5A97" w:rsidRDefault="008A5A97" w:rsidP="00A37DD4">
      <w:pPr>
        <w:rPr>
          <w:rFonts w:cs="Arial"/>
          <w:szCs w:val="28"/>
        </w:rPr>
      </w:pPr>
      <w:r>
        <w:rPr>
          <w:rFonts w:cs="Arial"/>
          <w:szCs w:val="28"/>
        </w:rPr>
        <w:t>Precisado lo anterior, este Tribunal Pleno de la Suprema Corte de Justicia de la Nación no advierte que en el caso sea aplicable alguna otra causa de improcedencia.</w:t>
      </w:r>
    </w:p>
    <w:p w:rsidR="00A37DD4" w:rsidRDefault="00A37DD4" w:rsidP="00AD515B">
      <w:pPr>
        <w:ind w:firstLine="0"/>
        <w:rPr>
          <w:rFonts w:cs="Arial"/>
          <w:szCs w:val="28"/>
        </w:rPr>
      </w:pPr>
    </w:p>
    <w:p w:rsidR="008A5A97" w:rsidRPr="008A5A97" w:rsidRDefault="00791223" w:rsidP="000E713B">
      <w:pPr>
        <w:pStyle w:val="Ttulo2"/>
        <w:rPr>
          <w:b w:val="0"/>
        </w:rPr>
      </w:pPr>
      <w:r>
        <w:t xml:space="preserve">QUINTO. </w:t>
      </w:r>
      <w:r w:rsidR="008A5A97">
        <w:t xml:space="preserve">Precisión de las disposiciones normativas impugnadas. </w:t>
      </w:r>
      <w:r w:rsidR="008A5A97" w:rsidRPr="008A5A97">
        <w:rPr>
          <w:b w:val="0"/>
        </w:rPr>
        <w:t>Con base en lo sostenido en el considerando anterior, en esta acción de inconstitucionalidad solo será estudiada la validez de los artículos 18, segundo párrafo; 36, párrafo noveno; 79, párrafo segundo; 142</w:t>
      </w:r>
      <w:r w:rsidR="00F84FCD">
        <w:rPr>
          <w:b w:val="0"/>
        </w:rPr>
        <w:t>, párrafo primero; 146</w:t>
      </w:r>
      <w:r w:rsidR="00F84FCD" w:rsidRPr="00BC1E88">
        <w:rPr>
          <w:b w:val="0"/>
        </w:rPr>
        <w:t>, fracciones IV y</w:t>
      </w:r>
      <w:r w:rsidR="008A5A97" w:rsidRPr="00BC1E88">
        <w:rPr>
          <w:b w:val="0"/>
        </w:rPr>
        <w:t xml:space="preserve"> XXIV Bis; 153 y 161 de la Ley de Instituciones y Procedimientos</w:t>
      </w:r>
      <w:r w:rsidR="008A5A97" w:rsidRPr="008A5A97">
        <w:rPr>
          <w:b w:val="0"/>
        </w:rPr>
        <w:t xml:space="preserve"> Electorales del Estado de Sinaloa, así como el artículo único transitorio del decreto 454.</w:t>
      </w:r>
      <w:r w:rsidR="007446EC">
        <w:rPr>
          <w:b w:val="0"/>
        </w:rPr>
        <w:t xml:space="preserve"> </w:t>
      </w:r>
    </w:p>
    <w:p w:rsidR="008A5A97" w:rsidRDefault="008A5A97" w:rsidP="008A5A97"/>
    <w:p w:rsidR="000E713B" w:rsidRPr="000301E4" w:rsidRDefault="008A5A97" w:rsidP="000E713B">
      <w:pPr>
        <w:pStyle w:val="Ttulo2"/>
        <w:rPr>
          <w:b w:val="0"/>
        </w:rPr>
      </w:pPr>
      <w:r w:rsidRPr="000301E4">
        <w:t xml:space="preserve">SEXTO. </w:t>
      </w:r>
      <w:r w:rsidR="00791223" w:rsidRPr="000301E4">
        <w:t xml:space="preserve">Estudio de fondo. </w:t>
      </w:r>
      <w:r w:rsidR="000E713B" w:rsidRPr="000301E4">
        <w:rPr>
          <w:b w:val="0"/>
        </w:rPr>
        <w:t xml:space="preserve">Como </w:t>
      </w:r>
      <w:r w:rsidR="00203230" w:rsidRPr="000301E4">
        <w:rPr>
          <w:b w:val="0"/>
        </w:rPr>
        <w:t>fue referido</w:t>
      </w:r>
      <w:r w:rsidR="000E713B" w:rsidRPr="000301E4">
        <w:rPr>
          <w:b w:val="0"/>
        </w:rPr>
        <w:t xml:space="preserve"> en </w:t>
      </w:r>
      <w:r w:rsidRPr="000301E4">
        <w:rPr>
          <w:b w:val="0"/>
        </w:rPr>
        <w:t>los resultandos de esta sentencia, en sus</w:t>
      </w:r>
      <w:r w:rsidR="000E713B" w:rsidRPr="000301E4">
        <w:rPr>
          <w:b w:val="0"/>
        </w:rPr>
        <w:t xml:space="preserve"> conceptos de invalidez </w:t>
      </w:r>
      <w:r w:rsidRPr="000301E4">
        <w:rPr>
          <w:b w:val="0"/>
        </w:rPr>
        <w:t xml:space="preserve">el partido demandante expone que en el </w:t>
      </w:r>
      <w:r w:rsidR="00203230" w:rsidRPr="000301E4">
        <w:rPr>
          <w:b w:val="0"/>
        </w:rPr>
        <w:t xml:space="preserve">proceso legislativo que culminó con la publicación </w:t>
      </w:r>
      <w:r w:rsidR="00203230" w:rsidRPr="002F63FF">
        <w:rPr>
          <w:b w:val="0"/>
        </w:rPr>
        <w:t>del decreto impugnado</w:t>
      </w:r>
      <w:r w:rsidRPr="002F63FF">
        <w:rPr>
          <w:b w:val="0"/>
        </w:rPr>
        <w:t xml:space="preserve"> </w:t>
      </w:r>
      <w:r w:rsidR="009952A0" w:rsidRPr="002F63FF">
        <w:rPr>
          <w:b w:val="0"/>
        </w:rPr>
        <w:t>hubo</w:t>
      </w:r>
      <w:r w:rsidRPr="002F63FF">
        <w:rPr>
          <w:b w:val="0"/>
        </w:rPr>
        <w:t xml:space="preserve"> violaciones al procedimiento legislativo y</w:t>
      </w:r>
      <w:r w:rsidR="00F84FCD" w:rsidRPr="002F63FF">
        <w:rPr>
          <w:b w:val="0"/>
        </w:rPr>
        <w:t>,</w:t>
      </w:r>
      <w:r w:rsidR="00203230" w:rsidRPr="002F63FF">
        <w:rPr>
          <w:b w:val="0"/>
        </w:rPr>
        <w:t xml:space="preserve"> </w:t>
      </w:r>
      <w:r w:rsidR="00F84FCD" w:rsidRPr="002F63FF">
        <w:rPr>
          <w:b w:val="0"/>
        </w:rPr>
        <w:t xml:space="preserve">en causa de pedir, </w:t>
      </w:r>
      <w:r w:rsidRPr="002F63FF">
        <w:rPr>
          <w:b w:val="0"/>
        </w:rPr>
        <w:t xml:space="preserve">que </w:t>
      </w:r>
      <w:r w:rsidR="00203230" w:rsidRPr="002F63FF">
        <w:rPr>
          <w:b w:val="0"/>
        </w:rPr>
        <w:t>no fue respetado el derecho de consulta de</w:t>
      </w:r>
      <w:r w:rsidR="00203230" w:rsidRPr="000301E4">
        <w:rPr>
          <w:b w:val="0"/>
        </w:rPr>
        <w:t xml:space="preserve"> los pueblos indígenas</w:t>
      </w:r>
      <w:r w:rsidR="009952A0" w:rsidRPr="000301E4">
        <w:rPr>
          <w:b w:val="0"/>
        </w:rPr>
        <w:t>, por un lado, así como argumentos tendientes a demostrar la inconstitucionalidad de las disposiciones normativas establecidas mediante el decreto impugnado</w:t>
      </w:r>
      <w:r w:rsidR="00203230" w:rsidRPr="000301E4">
        <w:rPr>
          <w:b w:val="0"/>
        </w:rPr>
        <w:t>.</w:t>
      </w:r>
    </w:p>
    <w:p w:rsidR="000E713B" w:rsidRPr="00077FCB" w:rsidRDefault="000E713B" w:rsidP="000E713B">
      <w:pPr>
        <w:rPr>
          <w:rFonts w:cs="Arial"/>
          <w:szCs w:val="28"/>
          <w:highlight w:val="lightGray"/>
        </w:rPr>
      </w:pPr>
    </w:p>
    <w:p w:rsidR="000E713B" w:rsidRPr="000301E4" w:rsidRDefault="00203230" w:rsidP="000E713B">
      <w:pPr>
        <w:rPr>
          <w:rFonts w:cs="Arial"/>
          <w:szCs w:val="28"/>
        </w:rPr>
      </w:pPr>
      <w:r w:rsidRPr="000301E4">
        <w:rPr>
          <w:rFonts w:cs="Arial"/>
          <w:szCs w:val="28"/>
        </w:rPr>
        <w:t xml:space="preserve">Acorde con </w:t>
      </w:r>
      <w:r w:rsidR="00B80FDA" w:rsidRPr="000301E4">
        <w:rPr>
          <w:rFonts w:cs="Arial"/>
          <w:szCs w:val="28"/>
        </w:rPr>
        <w:t>los precedentes de este Tribunal Pleno</w:t>
      </w:r>
      <w:r w:rsidRPr="000301E4">
        <w:rPr>
          <w:rFonts w:cs="Arial"/>
          <w:szCs w:val="28"/>
        </w:rPr>
        <w:t xml:space="preserve">, </w:t>
      </w:r>
      <w:r w:rsidR="000E713B" w:rsidRPr="000301E4">
        <w:rPr>
          <w:rFonts w:cs="Arial"/>
          <w:szCs w:val="28"/>
        </w:rPr>
        <w:t>en primer lugar</w:t>
      </w:r>
      <w:r w:rsidRPr="000301E4">
        <w:rPr>
          <w:rFonts w:cs="Arial"/>
          <w:szCs w:val="28"/>
        </w:rPr>
        <w:t xml:space="preserve"> debe </w:t>
      </w:r>
      <w:r w:rsidR="00B80FDA" w:rsidRPr="000301E4">
        <w:rPr>
          <w:rFonts w:cs="Arial"/>
          <w:szCs w:val="28"/>
        </w:rPr>
        <w:t>estudiarse</w:t>
      </w:r>
      <w:r w:rsidRPr="000301E4">
        <w:rPr>
          <w:rFonts w:cs="Arial"/>
          <w:szCs w:val="28"/>
        </w:rPr>
        <w:t xml:space="preserve"> es</w:t>
      </w:r>
      <w:r w:rsidR="00B80FDA" w:rsidRPr="000301E4">
        <w:rPr>
          <w:rFonts w:cs="Arial"/>
          <w:szCs w:val="28"/>
        </w:rPr>
        <w:t>t</w:t>
      </w:r>
      <w:r w:rsidR="006317F0" w:rsidRPr="000301E4">
        <w:rPr>
          <w:rFonts w:cs="Arial"/>
          <w:szCs w:val="28"/>
        </w:rPr>
        <w:t>os</w:t>
      </w:r>
      <w:r w:rsidRPr="000301E4">
        <w:rPr>
          <w:rFonts w:cs="Arial"/>
          <w:szCs w:val="28"/>
        </w:rPr>
        <w:t xml:space="preserve"> argumento</w:t>
      </w:r>
      <w:r w:rsidR="006317F0" w:rsidRPr="000301E4">
        <w:rPr>
          <w:rFonts w:cs="Arial"/>
          <w:szCs w:val="28"/>
        </w:rPr>
        <w:t>s</w:t>
      </w:r>
      <w:r w:rsidR="00900608" w:rsidRPr="000301E4">
        <w:rPr>
          <w:rFonts w:cs="Arial"/>
          <w:szCs w:val="28"/>
        </w:rPr>
        <w:t xml:space="preserve"> de invalidez</w:t>
      </w:r>
      <w:r w:rsidR="009C32D7" w:rsidRPr="000301E4">
        <w:rPr>
          <w:rFonts w:cs="Arial"/>
          <w:szCs w:val="28"/>
        </w:rPr>
        <w:t>, pues</w:t>
      </w:r>
      <w:r w:rsidRPr="000301E4">
        <w:rPr>
          <w:rFonts w:cs="Arial"/>
          <w:szCs w:val="28"/>
        </w:rPr>
        <w:t xml:space="preserve"> </w:t>
      </w:r>
      <w:r w:rsidR="00B80FDA" w:rsidRPr="000301E4">
        <w:rPr>
          <w:rFonts w:cs="Arial"/>
          <w:szCs w:val="28"/>
        </w:rPr>
        <w:t>e</w:t>
      </w:r>
      <w:r w:rsidR="000E713B" w:rsidRPr="000301E4">
        <w:rPr>
          <w:rFonts w:cs="Arial"/>
          <w:szCs w:val="28"/>
        </w:rPr>
        <w:t>l estudio de</w:t>
      </w:r>
      <w:r w:rsidR="00783264" w:rsidRPr="000301E4">
        <w:rPr>
          <w:rFonts w:cs="Arial"/>
          <w:szCs w:val="28"/>
        </w:rPr>
        <w:t xml:space="preserve"> los demás </w:t>
      </w:r>
      <w:r w:rsidR="009C32D7" w:rsidRPr="000301E4">
        <w:rPr>
          <w:rFonts w:cs="Arial"/>
          <w:szCs w:val="28"/>
        </w:rPr>
        <w:t xml:space="preserve">conceptos </w:t>
      </w:r>
      <w:r w:rsidR="00783264" w:rsidRPr="000301E4">
        <w:rPr>
          <w:rFonts w:cs="Arial"/>
          <w:szCs w:val="28"/>
        </w:rPr>
        <w:t xml:space="preserve">expuestos en la demanda está sujeto a </w:t>
      </w:r>
      <w:r w:rsidR="00900608" w:rsidRPr="000301E4">
        <w:rPr>
          <w:rFonts w:cs="Arial"/>
          <w:szCs w:val="28"/>
        </w:rPr>
        <w:t>lo que sea resuelto al respecto</w:t>
      </w:r>
      <w:r w:rsidR="00077FCB" w:rsidRPr="000301E4">
        <w:rPr>
          <w:rFonts w:cs="Arial"/>
          <w:szCs w:val="28"/>
        </w:rPr>
        <w:t>, ya que en caso de ser fundados debe declararse</w:t>
      </w:r>
      <w:r w:rsidR="00900608" w:rsidRPr="000301E4">
        <w:rPr>
          <w:rFonts w:cs="Arial"/>
          <w:szCs w:val="28"/>
        </w:rPr>
        <w:t xml:space="preserve"> la invalidez de todo el decreto y</w:t>
      </w:r>
      <w:r w:rsidR="00077FCB" w:rsidRPr="000301E4">
        <w:rPr>
          <w:rFonts w:cs="Arial"/>
          <w:szCs w:val="28"/>
        </w:rPr>
        <w:t>, por ende, sería</w:t>
      </w:r>
      <w:r w:rsidR="00900608" w:rsidRPr="000301E4">
        <w:rPr>
          <w:rFonts w:cs="Arial"/>
          <w:szCs w:val="28"/>
        </w:rPr>
        <w:t xml:space="preserve"> innecesario el estudio de los demás planteamientos</w:t>
      </w:r>
      <w:r w:rsidR="00077FCB" w:rsidRPr="000301E4">
        <w:rPr>
          <w:rFonts w:cs="Arial"/>
          <w:szCs w:val="28"/>
        </w:rPr>
        <w:t xml:space="preserve"> del partido demandante</w:t>
      </w:r>
      <w:r w:rsidR="00900608" w:rsidRPr="000301E4">
        <w:rPr>
          <w:rFonts w:cs="Arial"/>
          <w:szCs w:val="28"/>
        </w:rPr>
        <w:t xml:space="preserve">. </w:t>
      </w:r>
    </w:p>
    <w:p w:rsidR="00A76D3D" w:rsidRPr="00077FCB" w:rsidRDefault="00A76D3D" w:rsidP="000E713B">
      <w:pPr>
        <w:rPr>
          <w:rFonts w:cs="Arial"/>
          <w:szCs w:val="28"/>
          <w:highlight w:val="lightGray"/>
        </w:rPr>
      </w:pPr>
    </w:p>
    <w:p w:rsidR="00077FCB" w:rsidRPr="000301E4" w:rsidRDefault="00A00C21" w:rsidP="00A00C21">
      <w:pPr>
        <w:pStyle w:val="Ttulo3"/>
        <w:ind w:firstLine="709"/>
      </w:pPr>
      <w:r w:rsidRPr="000301E4">
        <w:t xml:space="preserve">A. </w:t>
      </w:r>
      <w:r w:rsidR="00077FCB" w:rsidRPr="000301E4">
        <w:t>Argumentos en contra del procedimiento legislativo</w:t>
      </w:r>
    </w:p>
    <w:p w:rsidR="00077FCB" w:rsidRPr="00077FCB" w:rsidRDefault="00077FCB" w:rsidP="00077FCB">
      <w:pPr>
        <w:rPr>
          <w:highlight w:val="lightGray"/>
        </w:rPr>
      </w:pPr>
    </w:p>
    <w:p w:rsidR="00A76D3D" w:rsidRPr="000301E4" w:rsidRDefault="00077FCB" w:rsidP="00077FCB">
      <w:pPr>
        <w:pStyle w:val="Ttulo4"/>
      </w:pPr>
      <w:r w:rsidRPr="000301E4">
        <w:t xml:space="preserve">1. </w:t>
      </w:r>
      <w:r w:rsidR="00A00C21" w:rsidRPr="000301E4">
        <w:t>Transgresión a las reglas que regulan el</w:t>
      </w:r>
      <w:r w:rsidR="00A76D3D" w:rsidRPr="000301E4">
        <w:t xml:space="preserve"> proced</w:t>
      </w:r>
      <w:r w:rsidR="00DA71F2" w:rsidRPr="000301E4">
        <w:t>imiento legislativo</w:t>
      </w:r>
    </w:p>
    <w:p w:rsidR="000E713B" w:rsidRPr="00077FCB" w:rsidRDefault="000E713B" w:rsidP="000E713B">
      <w:pPr>
        <w:rPr>
          <w:rFonts w:cs="Arial"/>
          <w:szCs w:val="28"/>
          <w:highlight w:val="lightGray"/>
        </w:rPr>
      </w:pPr>
    </w:p>
    <w:p w:rsidR="00526011" w:rsidRPr="000301E4" w:rsidRDefault="00077FCB" w:rsidP="00077FCB">
      <w:pPr>
        <w:rPr>
          <w:rFonts w:cs="Arial"/>
          <w:szCs w:val="28"/>
        </w:rPr>
      </w:pPr>
      <w:r w:rsidRPr="000301E4">
        <w:rPr>
          <w:rFonts w:cs="Arial"/>
          <w:szCs w:val="28"/>
        </w:rPr>
        <w:lastRenderedPageBreak/>
        <w:t>Este Tribunal Pleno se ha pronunciado en varias ocasiones respecto de</w:t>
      </w:r>
      <w:r w:rsidR="00526011" w:rsidRPr="000301E4">
        <w:rPr>
          <w:rFonts w:cs="Arial"/>
          <w:szCs w:val="28"/>
        </w:rPr>
        <w:t xml:space="preserve"> las formalidades del procedimiento legislativo</w:t>
      </w:r>
      <w:r w:rsidRPr="000301E4">
        <w:rPr>
          <w:rFonts w:cs="Arial"/>
          <w:szCs w:val="28"/>
        </w:rPr>
        <w:t xml:space="preserve"> que deben cumplir los órganos legislativos en la emisión de disposiciones normativas; específicamente</w:t>
      </w:r>
      <w:r w:rsidR="00526011" w:rsidRPr="000301E4">
        <w:rPr>
          <w:rFonts w:cs="Arial"/>
          <w:szCs w:val="28"/>
        </w:rPr>
        <w:t xml:space="preserve"> en las acciones de inconstitucionalidad 52/2006 y s</w:t>
      </w:r>
      <w:r w:rsidR="00284F45" w:rsidRPr="000301E4">
        <w:rPr>
          <w:rFonts w:cs="Arial"/>
          <w:szCs w:val="28"/>
        </w:rPr>
        <w:t>us acumuladas 53/2006 y 54/2006</w:t>
      </w:r>
      <w:r w:rsidR="00284F45" w:rsidRPr="000301E4">
        <w:footnoteReference w:id="8"/>
      </w:r>
      <w:r w:rsidR="00526011" w:rsidRPr="000301E4">
        <w:rPr>
          <w:rFonts w:cs="Arial"/>
          <w:szCs w:val="28"/>
        </w:rPr>
        <w:t>, entre otras consideraciones,</w:t>
      </w:r>
      <w:r w:rsidRPr="000301E4">
        <w:rPr>
          <w:rFonts w:cs="Arial"/>
          <w:szCs w:val="28"/>
        </w:rPr>
        <w:t xml:space="preserve"> sostuvo</w:t>
      </w:r>
      <w:r w:rsidR="00526011" w:rsidRPr="000301E4">
        <w:rPr>
          <w:rFonts w:cs="Arial"/>
          <w:szCs w:val="28"/>
        </w:rPr>
        <w:t xml:space="preserve"> lo siguiente.</w:t>
      </w:r>
    </w:p>
    <w:p w:rsidR="00526011" w:rsidRPr="00526011" w:rsidRDefault="00526011" w:rsidP="00526011">
      <w:pPr>
        <w:rPr>
          <w:rFonts w:cs="Arial"/>
          <w:szCs w:val="28"/>
        </w:rPr>
      </w:pPr>
    </w:p>
    <w:p w:rsidR="00526011" w:rsidRPr="00526011" w:rsidRDefault="00526011" w:rsidP="00526011">
      <w:pPr>
        <w:rPr>
          <w:rFonts w:cs="Arial"/>
          <w:szCs w:val="28"/>
        </w:rPr>
      </w:pPr>
      <w:r w:rsidRPr="00526011">
        <w:rPr>
          <w:rFonts w:cs="Arial"/>
          <w:szCs w:val="28"/>
        </w:rPr>
        <w:t xml:space="preserve">El pueblo mexicano se constituye en una república representativa, democrática y federal, compuesta de Estados libres y soberanos, en lo relativo a su régimen interior, pero unidos en una Federación establecida según los principios de la </w:t>
      </w:r>
      <w:r w:rsidR="00251933">
        <w:rPr>
          <w:rFonts w:cs="Arial"/>
          <w:szCs w:val="28"/>
        </w:rPr>
        <w:t>Constitución General</w:t>
      </w:r>
      <w:r w:rsidRPr="00526011">
        <w:rPr>
          <w:rFonts w:cs="Arial"/>
          <w:szCs w:val="28"/>
        </w:rPr>
        <w:t>, par</w:t>
      </w:r>
      <w:r w:rsidR="00251933">
        <w:rPr>
          <w:rFonts w:cs="Arial"/>
          <w:szCs w:val="28"/>
        </w:rPr>
        <w:t>a lo cual los Estados adoptarán</w:t>
      </w:r>
      <w:r w:rsidRPr="00526011">
        <w:rPr>
          <w:rFonts w:cs="Arial"/>
          <w:szCs w:val="28"/>
        </w:rPr>
        <w:t xml:space="preserve"> en</w:t>
      </w:r>
      <w:r w:rsidR="00251933">
        <w:rPr>
          <w:rFonts w:cs="Arial"/>
          <w:szCs w:val="28"/>
        </w:rPr>
        <w:t xml:space="preserve"> su ámbito interno</w:t>
      </w:r>
      <w:r w:rsidRPr="00526011">
        <w:rPr>
          <w:rFonts w:cs="Arial"/>
          <w:szCs w:val="28"/>
        </w:rPr>
        <w:t xml:space="preserve"> la forma de gobierno republicano, representativo y popular.</w:t>
      </w:r>
    </w:p>
    <w:p w:rsidR="00526011" w:rsidRPr="00526011" w:rsidRDefault="00526011" w:rsidP="00526011">
      <w:pPr>
        <w:rPr>
          <w:rFonts w:cs="Arial"/>
          <w:szCs w:val="28"/>
        </w:rPr>
      </w:pPr>
    </w:p>
    <w:p w:rsidR="00526011" w:rsidRPr="00526011" w:rsidRDefault="00526011" w:rsidP="00526011">
      <w:pPr>
        <w:rPr>
          <w:rFonts w:cs="Arial"/>
          <w:szCs w:val="28"/>
        </w:rPr>
      </w:pPr>
      <w:r w:rsidRPr="00526011">
        <w:rPr>
          <w:rFonts w:cs="Arial"/>
          <w:szCs w:val="28"/>
        </w:rPr>
        <w:t>El pueblo mexicano adoptó el sistema federal</w:t>
      </w:r>
      <w:r w:rsidR="00251933">
        <w:rPr>
          <w:rFonts w:cs="Arial"/>
          <w:szCs w:val="28"/>
        </w:rPr>
        <w:t xml:space="preserve"> mediante el</w:t>
      </w:r>
      <w:r w:rsidRPr="00526011">
        <w:rPr>
          <w:rFonts w:cs="Arial"/>
          <w:szCs w:val="28"/>
        </w:rPr>
        <w:t xml:space="preserve"> cual las funciones estatales son distribuidas conforme a una delimitación de competencias entre los poderes federales y las autoridades locales</w:t>
      </w:r>
      <w:r w:rsidR="00251933">
        <w:rPr>
          <w:rFonts w:cs="Arial"/>
          <w:szCs w:val="28"/>
        </w:rPr>
        <w:t>, bajo la regla de</w:t>
      </w:r>
      <w:r w:rsidRPr="00526011">
        <w:rPr>
          <w:rFonts w:cs="Arial"/>
          <w:szCs w:val="28"/>
        </w:rPr>
        <w:t xml:space="preserve"> que las facultades que no están expresamente concedidas a la Federación se entienden reservadas a los Estados, por lo </w:t>
      </w:r>
      <w:r w:rsidR="00251933">
        <w:rPr>
          <w:rFonts w:cs="Arial"/>
          <w:szCs w:val="28"/>
        </w:rPr>
        <w:t>que las personas están sujetas</w:t>
      </w:r>
      <w:r w:rsidRPr="00526011">
        <w:rPr>
          <w:rFonts w:cs="Arial"/>
          <w:szCs w:val="28"/>
        </w:rPr>
        <w:t xml:space="preserve"> al poder central en algunas esferas, mientras que en otras lo está a los poderes regionales o locales.</w:t>
      </w:r>
    </w:p>
    <w:p w:rsidR="00526011" w:rsidRPr="00526011" w:rsidRDefault="00526011" w:rsidP="00526011">
      <w:pPr>
        <w:rPr>
          <w:rFonts w:cs="Arial"/>
          <w:szCs w:val="28"/>
        </w:rPr>
      </w:pPr>
    </w:p>
    <w:p w:rsidR="00526011" w:rsidRPr="00526011" w:rsidRDefault="00526011" w:rsidP="00526011">
      <w:pPr>
        <w:rPr>
          <w:rFonts w:cs="Arial"/>
          <w:szCs w:val="28"/>
        </w:rPr>
      </w:pPr>
      <w:r w:rsidRPr="00526011">
        <w:rPr>
          <w:rFonts w:cs="Arial"/>
          <w:szCs w:val="28"/>
        </w:rPr>
        <w:t>En la forma de gobierno democrático, aun cuando todos los titulares del poder público actúan como representantes del pueblo, lo son de un modo más preciso aquéllos que han sido designados mediante elección popular, elegidos por el cuerpo electoral, mediante el sistema de sufragio directo, universal y secreto.</w:t>
      </w:r>
    </w:p>
    <w:p w:rsidR="00526011" w:rsidRPr="00526011" w:rsidRDefault="00526011" w:rsidP="00526011">
      <w:pPr>
        <w:rPr>
          <w:rFonts w:cs="Arial"/>
          <w:szCs w:val="28"/>
        </w:rPr>
      </w:pPr>
    </w:p>
    <w:p w:rsidR="00526011" w:rsidRPr="00526011" w:rsidRDefault="00526011" w:rsidP="00526011">
      <w:pPr>
        <w:rPr>
          <w:rFonts w:cs="Arial"/>
          <w:szCs w:val="28"/>
        </w:rPr>
      </w:pPr>
      <w:r w:rsidRPr="00526011">
        <w:rPr>
          <w:rFonts w:cs="Arial"/>
          <w:szCs w:val="28"/>
        </w:rPr>
        <w:t>En el sistema de gobierno mexicano, uno de los elementos esenciales de la democracia es la deliberación p</w:t>
      </w:r>
      <w:r w:rsidR="0066124B">
        <w:rPr>
          <w:rFonts w:cs="Arial"/>
          <w:szCs w:val="28"/>
        </w:rPr>
        <w:t>ública, esto es, los ciudadanos</w:t>
      </w:r>
      <w:r w:rsidRPr="00526011">
        <w:rPr>
          <w:rFonts w:cs="Arial"/>
          <w:szCs w:val="28"/>
        </w:rPr>
        <w:t xml:space="preserve"> </w:t>
      </w:r>
      <w:r w:rsidR="0066124B">
        <w:rPr>
          <w:rFonts w:cs="Arial"/>
          <w:szCs w:val="28"/>
        </w:rPr>
        <w:t>mediante</w:t>
      </w:r>
      <w:r w:rsidRPr="00526011">
        <w:rPr>
          <w:rFonts w:cs="Arial"/>
          <w:szCs w:val="28"/>
        </w:rPr>
        <w:t xml:space="preserve"> sus</w:t>
      </w:r>
      <w:r w:rsidR="0066124B">
        <w:rPr>
          <w:rFonts w:cs="Arial"/>
          <w:szCs w:val="28"/>
        </w:rPr>
        <w:t xml:space="preserve"> representantes so</w:t>
      </w:r>
      <w:r w:rsidRPr="00526011">
        <w:rPr>
          <w:rFonts w:cs="Arial"/>
          <w:szCs w:val="28"/>
        </w:rPr>
        <w:t>lo pueden tomar decisiones colectivas después de haber tenido la oportunidad de participar en un debate abierto a todos</w:t>
      </w:r>
      <w:r w:rsidR="0066124B">
        <w:rPr>
          <w:rFonts w:cs="Arial"/>
          <w:szCs w:val="28"/>
        </w:rPr>
        <w:t xml:space="preserve"> en el que se equilibren</w:t>
      </w:r>
      <w:r w:rsidRPr="00526011">
        <w:rPr>
          <w:rFonts w:cs="Arial"/>
          <w:szCs w:val="28"/>
        </w:rPr>
        <w:t xml:space="preserve"> las razones a favor y en contra de </w:t>
      </w:r>
      <w:r w:rsidR="0066124B">
        <w:rPr>
          <w:rFonts w:cs="Arial"/>
          <w:szCs w:val="28"/>
        </w:rPr>
        <w:t>las diversas propuestas, pues so</w:t>
      </w:r>
      <w:r w:rsidRPr="00526011">
        <w:rPr>
          <w:rFonts w:cs="Arial"/>
          <w:szCs w:val="28"/>
        </w:rPr>
        <w:t xml:space="preserve">lo de </w:t>
      </w:r>
      <w:r w:rsidRPr="00526011">
        <w:rPr>
          <w:rFonts w:cs="Arial"/>
          <w:szCs w:val="28"/>
        </w:rPr>
        <w:lastRenderedPageBreak/>
        <w:t xml:space="preserve">esta manera </w:t>
      </w:r>
      <w:r w:rsidR="0066124B">
        <w:rPr>
          <w:rFonts w:cs="Arial"/>
          <w:szCs w:val="28"/>
        </w:rPr>
        <w:t>tiene</w:t>
      </w:r>
      <w:r w:rsidRPr="00526011">
        <w:rPr>
          <w:rFonts w:cs="Arial"/>
          <w:szCs w:val="28"/>
        </w:rPr>
        <w:t xml:space="preserve"> lugar la democracia, en tanto esta forma de gobierno se basa en el principio de igual consideración y respeto a todas las opiniones, corrientes e ideas</w:t>
      </w:r>
      <w:r w:rsidR="0066124B">
        <w:rPr>
          <w:rFonts w:cs="Arial"/>
          <w:szCs w:val="28"/>
        </w:rPr>
        <w:t>,</w:t>
      </w:r>
      <w:r w:rsidRPr="00526011">
        <w:rPr>
          <w:rFonts w:cs="Arial"/>
          <w:szCs w:val="28"/>
        </w:rPr>
        <w:t xml:space="preserve"> cuya expresión </w:t>
      </w:r>
      <w:r w:rsidR="000301E4">
        <w:rPr>
          <w:rFonts w:cs="Arial"/>
          <w:szCs w:val="28"/>
        </w:rPr>
        <w:t>culminante</w:t>
      </w:r>
      <w:r w:rsidRPr="00526011">
        <w:rPr>
          <w:rFonts w:cs="Arial"/>
          <w:szCs w:val="28"/>
        </w:rPr>
        <w:t xml:space="preserve"> se da en la regla del acatamiento a la mayoría.</w:t>
      </w:r>
    </w:p>
    <w:p w:rsidR="00526011" w:rsidRPr="00526011" w:rsidRDefault="00526011" w:rsidP="00526011">
      <w:pPr>
        <w:rPr>
          <w:rFonts w:cs="Arial"/>
          <w:szCs w:val="28"/>
        </w:rPr>
      </w:pPr>
    </w:p>
    <w:p w:rsidR="00526011" w:rsidRPr="00526011" w:rsidRDefault="00526011" w:rsidP="00526011">
      <w:pPr>
        <w:rPr>
          <w:rFonts w:cs="Arial"/>
          <w:szCs w:val="28"/>
        </w:rPr>
      </w:pPr>
      <w:r w:rsidRPr="00526011">
        <w:rPr>
          <w:rFonts w:cs="Arial"/>
          <w:szCs w:val="28"/>
        </w:rPr>
        <w:t xml:space="preserve">En un Estado democrático la Constitución impone ciertos requisitos de publicidad y participación para la creación, reforma, modificación o supresión de las </w:t>
      </w:r>
      <w:r w:rsidR="0066124B">
        <w:rPr>
          <w:rFonts w:cs="Arial"/>
          <w:szCs w:val="28"/>
        </w:rPr>
        <w:t>disposiciones normativas</w:t>
      </w:r>
      <w:r w:rsidRPr="00526011">
        <w:rPr>
          <w:rFonts w:cs="Arial"/>
          <w:szCs w:val="28"/>
        </w:rPr>
        <w:t>, sin los cuales no pueden éstas co</w:t>
      </w:r>
      <w:r w:rsidR="0066124B">
        <w:rPr>
          <w:rFonts w:cs="Arial"/>
          <w:szCs w:val="28"/>
        </w:rPr>
        <w:t>nsiderarse válidas, de modo que</w:t>
      </w:r>
      <w:r w:rsidRPr="00526011">
        <w:rPr>
          <w:rFonts w:cs="Arial"/>
          <w:szCs w:val="28"/>
        </w:rPr>
        <w:t xml:space="preserve"> para lograr el respeto de los principios de democracia y representatividad </w:t>
      </w:r>
      <w:r w:rsidR="0066124B">
        <w:rPr>
          <w:rFonts w:cs="Arial"/>
          <w:szCs w:val="28"/>
        </w:rPr>
        <w:t>establecidos en la Constitución Genera</w:t>
      </w:r>
      <w:r w:rsidR="006E0DFA">
        <w:rPr>
          <w:rFonts w:cs="Arial"/>
          <w:szCs w:val="28"/>
        </w:rPr>
        <w:t>l</w:t>
      </w:r>
      <w:r w:rsidR="0066124B">
        <w:rPr>
          <w:rFonts w:cs="Arial"/>
          <w:szCs w:val="28"/>
        </w:rPr>
        <w:t xml:space="preserve"> no so</w:t>
      </w:r>
      <w:r w:rsidRPr="00526011">
        <w:rPr>
          <w:rFonts w:cs="Arial"/>
          <w:szCs w:val="28"/>
        </w:rPr>
        <w:t>lo reviste importancia el contenido de las leyes</w:t>
      </w:r>
      <w:r w:rsidR="0066124B">
        <w:rPr>
          <w:rFonts w:cs="Arial"/>
          <w:szCs w:val="28"/>
        </w:rPr>
        <w:t>,</w:t>
      </w:r>
      <w:r w:rsidRPr="00526011">
        <w:rPr>
          <w:rFonts w:cs="Arial"/>
          <w:szCs w:val="28"/>
        </w:rPr>
        <w:t xml:space="preserve"> sino, además, la forma en que son creadas o reformadas, </w:t>
      </w:r>
      <w:r w:rsidR="0066124B">
        <w:rPr>
          <w:rFonts w:cs="Arial"/>
          <w:szCs w:val="28"/>
        </w:rPr>
        <w:t>en razón</w:t>
      </w:r>
      <w:r w:rsidRPr="00526011">
        <w:rPr>
          <w:rFonts w:cs="Arial"/>
          <w:szCs w:val="28"/>
        </w:rPr>
        <w:t xml:space="preserve"> de que las formalidades esenciales del procedimiento legislativo resguardan o aseguran el cumplimiento de los principios democráticos.</w:t>
      </w:r>
    </w:p>
    <w:p w:rsidR="00526011" w:rsidRPr="00526011" w:rsidRDefault="00526011" w:rsidP="00526011">
      <w:pPr>
        <w:rPr>
          <w:rFonts w:cs="Arial"/>
          <w:szCs w:val="28"/>
        </w:rPr>
      </w:pPr>
    </w:p>
    <w:p w:rsidR="00526011" w:rsidRPr="00526011" w:rsidRDefault="00526011" w:rsidP="00526011">
      <w:pPr>
        <w:rPr>
          <w:rFonts w:cs="Arial"/>
          <w:szCs w:val="28"/>
        </w:rPr>
      </w:pPr>
      <w:r w:rsidRPr="00526011">
        <w:rPr>
          <w:rFonts w:cs="Arial"/>
          <w:szCs w:val="28"/>
        </w:rPr>
        <w:t xml:space="preserve">La violación a las formalidades del procedimiento legislativo debe abordarse desde la consideración de las premisas básicas en las que se asienta la democracia liberal representativa, por lo que la evaluación del potencial invalidatorio de dichas </w:t>
      </w:r>
      <w:r w:rsidR="0066124B">
        <w:rPr>
          <w:rFonts w:cs="Arial"/>
          <w:szCs w:val="28"/>
        </w:rPr>
        <w:t>violaciones</w:t>
      </w:r>
      <w:r w:rsidRPr="00526011">
        <w:rPr>
          <w:rFonts w:cs="Arial"/>
          <w:szCs w:val="28"/>
        </w:rPr>
        <w:t xml:space="preserve"> debe equilibrar dos principios distintos: el de economía procesal, que apunta a la necesidad de no reponer innecesariamente etapas de un procedimiento cuando ello no redund</w:t>
      </w:r>
      <w:r w:rsidR="0066124B">
        <w:rPr>
          <w:rFonts w:cs="Arial"/>
          <w:szCs w:val="28"/>
        </w:rPr>
        <w:t>e</w:t>
      </w:r>
      <w:r w:rsidRPr="00526011">
        <w:rPr>
          <w:rFonts w:cs="Arial"/>
          <w:szCs w:val="28"/>
        </w:rPr>
        <w:t xml:space="preserve"> en un cambio sustancial de la voluntad parlamentaria expresada y, por tanto, a la necesidad de no otorgar efecto invalidatorio a todas y cada una de las irregularidades del procedimiento identificables en un caso concreto</w:t>
      </w:r>
      <w:r w:rsidR="0066124B">
        <w:rPr>
          <w:rFonts w:cs="Arial"/>
          <w:szCs w:val="28"/>
        </w:rPr>
        <w:t>;</w:t>
      </w:r>
      <w:r w:rsidRPr="00526011">
        <w:rPr>
          <w:rFonts w:cs="Arial"/>
          <w:szCs w:val="28"/>
        </w:rPr>
        <w:t xml:space="preserve"> y, por otro, un principio de equidad en la deliber</w:t>
      </w:r>
      <w:r w:rsidR="0066124B">
        <w:rPr>
          <w:rFonts w:cs="Arial"/>
          <w:szCs w:val="28"/>
        </w:rPr>
        <w:t>ación parlamentaria, que apunta por el contrario</w:t>
      </w:r>
      <w:r w:rsidRPr="00526011">
        <w:rPr>
          <w:rFonts w:cs="Arial"/>
          <w:szCs w:val="28"/>
        </w:rPr>
        <w:t xml:space="preserve"> a la necesidad de no considerar automáticamente irrelevantes todas las infracciones procedimentales que se produzcan en la tramitación parlamentaria que culmina con la aprobación de una </w:t>
      </w:r>
      <w:r w:rsidR="0066124B">
        <w:rPr>
          <w:rFonts w:cs="Arial"/>
          <w:szCs w:val="28"/>
        </w:rPr>
        <w:t>disposición normativa</w:t>
      </w:r>
      <w:r w:rsidRPr="00526011">
        <w:rPr>
          <w:rFonts w:cs="Arial"/>
          <w:szCs w:val="28"/>
        </w:rPr>
        <w:t>.</w:t>
      </w:r>
    </w:p>
    <w:p w:rsidR="00526011" w:rsidRPr="00526011" w:rsidRDefault="00526011" w:rsidP="00526011">
      <w:pPr>
        <w:rPr>
          <w:rFonts w:cs="Arial"/>
          <w:szCs w:val="28"/>
        </w:rPr>
      </w:pPr>
    </w:p>
    <w:p w:rsidR="00526011" w:rsidRPr="00526011" w:rsidRDefault="00526011" w:rsidP="00526011">
      <w:pPr>
        <w:rPr>
          <w:rFonts w:cs="Arial"/>
          <w:szCs w:val="28"/>
        </w:rPr>
      </w:pPr>
      <w:r w:rsidRPr="00526011">
        <w:rPr>
          <w:rFonts w:cs="Arial"/>
          <w:szCs w:val="28"/>
        </w:rPr>
        <w:t>La democracia representativa</w:t>
      </w:r>
      <w:r w:rsidR="0066124B">
        <w:rPr>
          <w:rFonts w:cs="Arial"/>
          <w:szCs w:val="28"/>
        </w:rPr>
        <w:t xml:space="preserve"> es un sistema político valioso no solamente porque en su contexto</w:t>
      </w:r>
      <w:r w:rsidRPr="00526011">
        <w:rPr>
          <w:rFonts w:cs="Arial"/>
          <w:szCs w:val="28"/>
        </w:rPr>
        <w:t xml:space="preserve"> las decisiones se toman por una mayoría determinada de los votos de los representantes de los ciudadanos, sino porque aquello que se somete a votación ha </w:t>
      </w:r>
      <w:r w:rsidR="0066124B">
        <w:rPr>
          <w:rFonts w:cs="Arial"/>
          <w:szCs w:val="28"/>
        </w:rPr>
        <w:t>sido</w:t>
      </w:r>
      <w:r w:rsidRPr="00526011">
        <w:rPr>
          <w:rFonts w:cs="Arial"/>
          <w:szCs w:val="28"/>
        </w:rPr>
        <w:t xml:space="preserve"> objeto de deliberación por parte de las mayorías y de las minorías </w:t>
      </w:r>
      <w:r w:rsidRPr="00526011">
        <w:rPr>
          <w:rFonts w:cs="Arial"/>
          <w:szCs w:val="28"/>
        </w:rPr>
        <w:lastRenderedPageBreak/>
        <w:t>políticas. Es precisamente el peso representativo y la naturaleza de la deliberación pública lo que otorga todo su sentido a la reglamentación del procedimiento legislativo y a la necesidad de imponer su respeto.</w:t>
      </w:r>
    </w:p>
    <w:p w:rsidR="00526011" w:rsidRPr="00526011" w:rsidRDefault="00526011" w:rsidP="00526011">
      <w:pPr>
        <w:rPr>
          <w:rFonts w:cs="Arial"/>
          <w:szCs w:val="28"/>
        </w:rPr>
      </w:pPr>
    </w:p>
    <w:p w:rsidR="00526011" w:rsidRPr="00526011" w:rsidRDefault="0066124B" w:rsidP="00526011">
      <w:pPr>
        <w:rPr>
          <w:rFonts w:cs="Arial"/>
          <w:szCs w:val="28"/>
        </w:rPr>
      </w:pPr>
      <w:r>
        <w:rPr>
          <w:rFonts w:cs="Arial"/>
          <w:szCs w:val="28"/>
        </w:rPr>
        <w:t>En ese sentido, el órgano legislativo</w:t>
      </w:r>
      <w:r w:rsidR="00526011" w:rsidRPr="00526011">
        <w:rPr>
          <w:rFonts w:cs="Arial"/>
          <w:szCs w:val="28"/>
        </w:rPr>
        <w:t xml:space="preserve"> antes de ser decisorio, debe ser deliberante</w:t>
      </w:r>
      <w:r>
        <w:rPr>
          <w:rFonts w:cs="Arial"/>
          <w:szCs w:val="28"/>
        </w:rPr>
        <w:t xml:space="preserve"> y permitir la</w:t>
      </w:r>
      <w:r w:rsidR="00526011" w:rsidRPr="00526011">
        <w:rPr>
          <w:rFonts w:cs="Arial"/>
          <w:szCs w:val="28"/>
        </w:rPr>
        <w:t xml:space="preserve"> expresión </w:t>
      </w:r>
      <w:r>
        <w:rPr>
          <w:rFonts w:cs="Arial"/>
          <w:szCs w:val="28"/>
        </w:rPr>
        <w:t xml:space="preserve">de </w:t>
      </w:r>
      <w:r w:rsidR="00526011" w:rsidRPr="00526011">
        <w:rPr>
          <w:rFonts w:cs="Arial"/>
          <w:szCs w:val="28"/>
        </w:rPr>
        <w:t>las opiniones de todos los grupos</w:t>
      </w:r>
      <w:r>
        <w:rPr>
          <w:rFonts w:cs="Arial"/>
          <w:szCs w:val="28"/>
        </w:rPr>
        <w:t xml:space="preserve"> que lo conforman</w:t>
      </w:r>
      <w:r w:rsidR="00526011" w:rsidRPr="00526011">
        <w:rPr>
          <w:rFonts w:cs="Arial"/>
          <w:szCs w:val="28"/>
        </w:rPr>
        <w:t xml:space="preserve">, tanto los mayoritarios como los minoritarios, porque las reglas que disciplinan el procedimiento legislativo protegen el derecho de las minorías a influir y moldear, en el transcurso de la deliberación pública, aquello que va a ser objeto de la votación final y, por tanto, otorga sentido </w:t>
      </w:r>
      <w:r w:rsidRPr="00526011">
        <w:rPr>
          <w:rFonts w:cs="Arial"/>
          <w:szCs w:val="28"/>
        </w:rPr>
        <w:t xml:space="preserve">pleno </w:t>
      </w:r>
      <w:r w:rsidR="00526011" w:rsidRPr="00526011">
        <w:rPr>
          <w:rFonts w:cs="Arial"/>
          <w:szCs w:val="28"/>
        </w:rPr>
        <w:t>a su condición de representantes de los ciudadanos.</w:t>
      </w:r>
    </w:p>
    <w:p w:rsidR="00526011" w:rsidRPr="00526011" w:rsidRDefault="00526011" w:rsidP="00526011">
      <w:pPr>
        <w:rPr>
          <w:rFonts w:cs="Arial"/>
          <w:szCs w:val="28"/>
        </w:rPr>
      </w:pPr>
    </w:p>
    <w:p w:rsidR="00526011" w:rsidRPr="00526011" w:rsidRDefault="0066124B" w:rsidP="00526011">
      <w:pPr>
        <w:rPr>
          <w:rFonts w:cs="Arial"/>
          <w:szCs w:val="28"/>
        </w:rPr>
      </w:pPr>
      <w:r>
        <w:rPr>
          <w:rFonts w:cs="Arial"/>
          <w:szCs w:val="28"/>
        </w:rPr>
        <w:t>Así, p</w:t>
      </w:r>
      <w:r w:rsidR="004A3904">
        <w:rPr>
          <w:rFonts w:cs="Arial"/>
          <w:szCs w:val="28"/>
        </w:rPr>
        <w:t>ara determinar si en un caso concreto</w:t>
      </w:r>
      <w:r w:rsidR="00526011" w:rsidRPr="00526011">
        <w:rPr>
          <w:rFonts w:cs="Arial"/>
          <w:szCs w:val="28"/>
        </w:rPr>
        <w:t xml:space="preserve"> las violaciones al procedimiento legislativo redundan en violación a las garantías de debido proceso y legalidad, consagradas en los artículos 14, segundo párrafo, y 16, primer párrafo, de la Constitución Federal, y provocan la invalidez de la norma emitida o si, por el contrario, no tienen relevancia </w:t>
      </w:r>
      <w:r w:rsidR="00CE6D7D">
        <w:rPr>
          <w:rFonts w:cs="Arial"/>
          <w:szCs w:val="28"/>
        </w:rPr>
        <w:t>invalidante</w:t>
      </w:r>
      <w:r w:rsidR="00526011" w:rsidRPr="00526011">
        <w:rPr>
          <w:rFonts w:cs="Arial"/>
          <w:szCs w:val="28"/>
        </w:rPr>
        <w:t>, por no llegar a trastocar los atributos democráticos finales de la decisión, es necesario evaluar el cumplimien</w:t>
      </w:r>
      <w:r w:rsidR="001640E4">
        <w:rPr>
          <w:rFonts w:cs="Arial"/>
          <w:szCs w:val="28"/>
        </w:rPr>
        <w:t>to de los siguientes estándares.</w:t>
      </w:r>
    </w:p>
    <w:p w:rsidR="00526011" w:rsidRPr="00526011" w:rsidRDefault="00526011" w:rsidP="00526011">
      <w:pPr>
        <w:rPr>
          <w:rFonts w:cs="Arial"/>
          <w:szCs w:val="28"/>
        </w:rPr>
      </w:pPr>
    </w:p>
    <w:p w:rsidR="00526011" w:rsidRPr="00526011" w:rsidRDefault="00654E15" w:rsidP="00526011">
      <w:pPr>
        <w:rPr>
          <w:rFonts w:cs="Arial"/>
          <w:szCs w:val="28"/>
        </w:rPr>
      </w:pPr>
      <w:r>
        <w:rPr>
          <w:rFonts w:cs="Arial"/>
          <w:szCs w:val="28"/>
        </w:rPr>
        <w:t>a</w:t>
      </w:r>
      <w:r w:rsidR="00526011" w:rsidRPr="00526011">
        <w:rPr>
          <w:rFonts w:cs="Arial"/>
          <w:szCs w:val="28"/>
        </w:rPr>
        <w:t xml:space="preserve">. El procedimiento legislativo debe respetar el derecho a la participación de todas las fuerzas políticas con representación parlamentaria en condiciones de libertad e igualdad. En otras palabras, es necesario que se respeten los cauces que permitan a las mayorías </w:t>
      </w:r>
      <w:r w:rsidR="001640E4">
        <w:rPr>
          <w:rFonts w:cs="Arial"/>
          <w:szCs w:val="28"/>
        </w:rPr>
        <w:t>y a las minorías parlamentarias</w:t>
      </w:r>
      <w:r w:rsidR="00526011" w:rsidRPr="00526011">
        <w:rPr>
          <w:rFonts w:cs="Arial"/>
          <w:szCs w:val="28"/>
        </w:rPr>
        <w:t xml:space="preserve"> expresar y defender su opinión en un contexto de deliberación pública, lo cual otorga relevancia a las reglas de integración y quórum en el seno de las Cámaras, así como a las que regulan el obj</w:t>
      </w:r>
      <w:r w:rsidR="001640E4">
        <w:rPr>
          <w:rFonts w:cs="Arial"/>
          <w:szCs w:val="28"/>
        </w:rPr>
        <w:t>eto y desarrollo de los debates.</w:t>
      </w:r>
    </w:p>
    <w:p w:rsidR="00526011" w:rsidRPr="00526011" w:rsidRDefault="00526011" w:rsidP="00526011">
      <w:pPr>
        <w:rPr>
          <w:rFonts w:cs="Arial"/>
          <w:szCs w:val="28"/>
        </w:rPr>
      </w:pPr>
    </w:p>
    <w:p w:rsidR="00526011" w:rsidRPr="00526011" w:rsidRDefault="00654E15" w:rsidP="00526011">
      <w:pPr>
        <w:rPr>
          <w:rFonts w:cs="Arial"/>
          <w:szCs w:val="28"/>
        </w:rPr>
      </w:pPr>
      <w:r>
        <w:rPr>
          <w:rFonts w:cs="Arial"/>
          <w:szCs w:val="28"/>
        </w:rPr>
        <w:t>b</w:t>
      </w:r>
      <w:r w:rsidR="00526011" w:rsidRPr="00526011">
        <w:rPr>
          <w:rFonts w:cs="Arial"/>
          <w:szCs w:val="28"/>
        </w:rPr>
        <w:t xml:space="preserve">. El procedimiento deliberativo debe culminar con la aplicación </w:t>
      </w:r>
      <w:r w:rsidR="00E05C8B" w:rsidRPr="00526011">
        <w:rPr>
          <w:rFonts w:cs="Arial"/>
          <w:szCs w:val="28"/>
        </w:rPr>
        <w:t xml:space="preserve">correcta </w:t>
      </w:r>
      <w:r w:rsidR="00526011" w:rsidRPr="00526011">
        <w:rPr>
          <w:rFonts w:cs="Arial"/>
          <w:szCs w:val="28"/>
        </w:rPr>
        <w:t xml:space="preserve">de las </w:t>
      </w:r>
      <w:r w:rsidR="001640E4">
        <w:rPr>
          <w:rFonts w:cs="Arial"/>
          <w:szCs w:val="28"/>
        </w:rPr>
        <w:t>reglas de votación establecidas.</w:t>
      </w:r>
    </w:p>
    <w:p w:rsidR="00526011" w:rsidRPr="00526011" w:rsidRDefault="00526011" w:rsidP="00526011">
      <w:pPr>
        <w:rPr>
          <w:rFonts w:cs="Arial"/>
          <w:szCs w:val="28"/>
        </w:rPr>
      </w:pPr>
    </w:p>
    <w:p w:rsidR="00526011" w:rsidRPr="00526011" w:rsidRDefault="00654E15" w:rsidP="00526011">
      <w:pPr>
        <w:rPr>
          <w:rFonts w:cs="Arial"/>
          <w:szCs w:val="28"/>
        </w:rPr>
      </w:pPr>
      <w:r>
        <w:rPr>
          <w:rFonts w:cs="Arial"/>
          <w:szCs w:val="28"/>
        </w:rPr>
        <w:lastRenderedPageBreak/>
        <w:t>c</w:t>
      </w:r>
      <w:r w:rsidR="00526011" w:rsidRPr="00526011">
        <w:rPr>
          <w:rFonts w:cs="Arial"/>
          <w:szCs w:val="28"/>
        </w:rPr>
        <w:t xml:space="preserve">. Tanto la deliberación parlamentaria como las votaciones deben ser públicas. </w:t>
      </w:r>
    </w:p>
    <w:p w:rsidR="00526011" w:rsidRPr="00526011" w:rsidRDefault="00526011" w:rsidP="00526011">
      <w:pPr>
        <w:rPr>
          <w:rFonts w:cs="Arial"/>
          <w:szCs w:val="28"/>
        </w:rPr>
      </w:pPr>
    </w:p>
    <w:p w:rsidR="001640E4" w:rsidRDefault="00526011" w:rsidP="00526011">
      <w:pPr>
        <w:rPr>
          <w:rFonts w:cs="Arial"/>
          <w:szCs w:val="28"/>
        </w:rPr>
      </w:pPr>
      <w:r w:rsidRPr="00526011">
        <w:rPr>
          <w:rFonts w:cs="Arial"/>
          <w:szCs w:val="28"/>
        </w:rPr>
        <w:t xml:space="preserve">El cumplimiento de los </w:t>
      </w:r>
      <w:r w:rsidR="001640E4" w:rsidRPr="00526011">
        <w:rPr>
          <w:rFonts w:cs="Arial"/>
          <w:szCs w:val="28"/>
        </w:rPr>
        <w:t xml:space="preserve">criterios </w:t>
      </w:r>
      <w:r w:rsidRPr="00526011">
        <w:rPr>
          <w:rFonts w:cs="Arial"/>
          <w:szCs w:val="28"/>
        </w:rPr>
        <w:t>anteriores siempre debe evaluarse a la vista del procedimiento legi</w:t>
      </w:r>
      <w:r w:rsidR="001640E4">
        <w:rPr>
          <w:rFonts w:cs="Arial"/>
          <w:szCs w:val="28"/>
        </w:rPr>
        <w:t>slativo en su integridad, pues</w:t>
      </w:r>
      <w:r w:rsidRPr="00526011">
        <w:rPr>
          <w:rFonts w:cs="Arial"/>
          <w:szCs w:val="28"/>
        </w:rPr>
        <w:t xml:space="preserve"> se trata de determinar si la existencia de ciertas irregularidades procedimentales impacta o no en la calidad democrática de la decisión final. </w:t>
      </w:r>
    </w:p>
    <w:p w:rsidR="001640E4" w:rsidRDefault="001640E4" w:rsidP="00526011">
      <w:pPr>
        <w:rPr>
          <w:rFonts w:cs="Arial"/>
          <w:szCs w:val="28"/>
        </w:rPr>
      </w:pPr>
    </w:p>
    <w:p w:rsidR="00526011" w:rsidRPr="00526011" w:rsidRDefault="00526011" w:rsidP="00526011">
      <w:pPr>
        <w:rPr>
          <w:rFonts w:cs="Arial"/>
          <w:szCs w:val="28"/>
        </w:rPr>
      </w:pPr>
      <w:r w:rsidRPr="00526011">
        <w:rPr>
          <w:rFonts w:cs="Arial"/>
          <w:szCs w:val="28"/>
        </w:rPr>
        <w:t xml:space="preserve">En otras palabras, los </w:t>
      </w:r>
      <w:r w:rsidR="001640E4" w:rsidRPr="00526011">
        <w:rPr>
          <w:rFonts w:cs="Arial"/>
          <w:szCs w:val="28"/>
        </w:rPr>
        <w:t xml:space="preserve">criterios </w:t>
      </w:r>
      <w:r w:rsidR="001640E4">
        <w:rPr>
          <w:rFonts w:cs="Arial"/>
          <w:szCs w:val="28"/>
        </w:rPr>
        <w:t>referidos</w:t>
      </w:r>
      <w:r w:rsidRPr="00526011">
        <w:rPr>
          <w:rFonts w:cs="Arial"/>
          <w:szCs w:val="28"/>
        </w:rPr>
        <w:t xml:space="preserve"> no pueden proyectarse sobre cada una de las actuaciones que se lleven a cabo en el desarrollo del procedimiento legislativo, ya que su función es ayudar a determinar la relevancia última de cada una de estas actuaciones, a la luz de los principios que otorgan verdadero sentido a la existencia de una normativa que discipline su desarrollo, y siempre deben aplicarse sin perder de vista que la regulación del procedimiento legislativo raramente es única e invariable, sino que incluye ajustes y modalidades que responden a la necesidad de atender las vicisitudes o avatares que tan frecuentemente se presentan en el desarrollo de los trabajos parlamentarios, como son, por ejemplo, la entrada en receso de las Cámaras, la necesidad de tramitar ciertas i</w:t>
      </w:r>
      <w:r w:rsidR="001640E4">
        <w:rPr>
          <w:rFonts w:cs="Arial"/>
          <w:szCs w:val="28"/>
        </w:rPr>
        <w:t>niciativas con extrema urgencia o</w:t>
      </w:r>
      <w:r w:rsidRPr="00526011">
        <w:rPr>
          <w:rFonts w:cs="Arial"/>
          <w:szCs w:val="28"/>
        </w:rPr>
        <w:t xml:space="preserve"> la dispensa de lectura de las iniciativas</w:t>
      </w:r>
      <w:r w:rsidR="001640E4">
        <w:rPr>
          <w:rFonts w:cs="Arial"/>
          <w:szCs w:val="28"/>
        </w:rPr>
        <w:t>, ante las cuales</w:t>
      </w:r>
      <w:r w:rsidRPr="00526011">
        <w:rPr>
          <w:rFonts w:cs="Arial"/>
          <w:szCs w:val="28"/>
        </w:rPr>
        <w:t xml:space="preserve"> la evaluación del cumplimiento de los estándares enunciados debe hacerse cargo de las particularidades del caso concreto, sin que ello pueda desembocar</w:t>
      </w:r>
      <w:r w:rsidR="001640E4">
        <w:rPr>
          <w:rFonts w:cs="Arial"/>
          <w:szCs w:val="28"/>
        </w:rPr>
        <w:t xml:space="preserve"> </w:t>
      </w:r>
      <w:r w:rsidRPr="00526011">
        <w:rPr>
          <w:rFonts w:cs="Arial"/>
          <w:szCs w:val="28"/>
        </w:rPr>
        <w:t>en la final desatención de ellos.</w:t>
      </w:r>
    </w:p>
    <w:p w:rsidR="00526011" w:rsidRPr="00526011" w:rsidRDefault="00526011" w:rsidP="00526011">
      <w:pPr>
        <w:rPr>
          <w:rFonts w:cs="Arial"/>
          <w:szCs w:val="28"/>
        </w:rPr>
      </w:pPr>
    </w:p>
    <w:p w:rsidR="00526011" w:rsidRPr="00526011" w:rsidRDefault="001640E4" w:rsidP="00526011">
      <w:pPr>
        <w:rPr>
          <w:rFonts w:cs="Arial"/>
          <w:szCs w:val="28"/>
        </w:rPr>
      </w:pPr>
      <w:r>
        <w:rPr>
          <w:rFonts w:cs="Arial"/>
          <w:szCs w:val="28"/>
        </w:rPr>
        <w:t>Aunado a lo anterior, debe tenerse en cuenta que en e</w:t>
      </w:r>
      <w:r w:rsidR="00526011" w:rsidRPr="00526011">
        <w:rPr>
          <w:rFonts w:cs="Arial"/>
          <w:szCs w:val="28"/>
        </w:rPr>
        <w:t>l art</w:t>
      </w:r>
      <w:r>
        <w:rPr>
          <w:rFonts w:cs="Arial"/>
          <w:szCs w:val="28"/>
        </w:rPr>
        <w:t>ículo 116 de la Constitución Gen</w:t>
      </w:r>
      <w:r w:rsidR="00526011" w:rsidRPr="00526011">
        <w:rPr>
          <w:rFonts w:cs="Arial"/>
          <w:szCs w:val="28"/>
        </w:rPr>
        <w:t xml:space="preserve">eral únicamente </w:t>
      </w:r>
      <w:r>
        <w:rPr>
          <w:rFonts w:cs="Arial"/>
          <w:szCs w:val="28"/>
        </w:rPr>
        <w:t xml:space="preserve">son establecidas </w:t>
      </w:r>
      <w:r w:rsidR="00526011" w:rsidRPr="00526011">
        <w:rPr>
          <w:rFonts w:cs="Arial"/>
          <w:szCs w:val="28"/>
        </w:rPr>
        <w:t>las bases para la integración y elección de los miembros de los Poderes Legislativos de los Estados, sin prever reglas que deben aplicar al procedimiento legislativo; por tanto, es facult</w:t>
      </w:r>
      <w:r>
        <w:rPr>
          <w:rFonts w:cs="Arial"/>
          <w:szCs w:val="28"/>
        </w:rPr>
        <w:t>ad de las legislaturas e</w:t>
      </w:r>
      <w:r w:rsidR="00526011" w:rsidRPr="00526011">
        <w:rPr>
          <w:rFonts w:cs="Arial"/>
          <w:szCs w:val="28"/>
        </w:rPr>
        <w:t>statales regular estos aspectos sin</w:t>
      </w:r>
      <w:r>
        <w:rPr>
          <w:rFonts w:cs="Arial"/>
          <w:szCs w:val="28"/>
        </w:rPr>
        <w:t xml:space="preserve"> contravenir la Constitución Gen</w:t>
      </w:r>
      <w:r w:rsidR="00526011" w:rsidRPr="00526011">
        <w:rPr>
          <w:rFonts w:cs="Arial"/>
          <w:szCs w:val="28"/>
        </w:rPr>
        <w:t>eral.</w:t>
      </w:r>
    </w:p>
    <w:p w:rsidR="00526011" w:rsidRPr="00526011" w:rsidRDefault="00526011" w:rsidP="00526011">
      <w:pPr>
        <w:rPr>
          <w:rFonts w:cs="Arial"/>
          <w:szCs w:val="28"/>
        </w:rPr>
      </w:pPr>
    </w:p>
    <w:p w:rsidR="00526011" w:rsidRPr="00526011" w:rsidRDefault="001640E4" w:rsidP="00526011">
      <w:pPr>
        <w:rPr>
          <w:rFonts w:cs="Arial"/>
          <w:szCs w:val="28"/>
        </w:rPr>
      </w:pPr>
      <w:r>
        <w:rPr>
          <w:rFonts w:cs="Arial"/>
          <w:szCs w:val="28"/>
        </w:rPr>
        <w:lastRenderedPageBreak/>
        <w:t>Por su parte</w:t>
      </w:r>
      <w:r w:rsidR="00526011" w:rsidRPr="00526011">
        <w:rPr>
          <w:rFonts w:cs="Arial"/>
          <w:szCs w:val="28"/>
        </w:rPr>
        <w:t>, en la contr</w:t>
      </w:r>
      <w:r>
        <w:rPr>
          <w:rFonts w:cs="Arial"/>
          <w:szCs w:val="28"/>
        </w:rPr>
        <w:t>oversia constitucional 19/2007</w:t>
      </w:r>
      <w:r>
        <w:rPr>
          <w:rStyle w:val="Refdenotaalpie"/>
          <w:rFonts w:cs="Arial"/>
          <w:szCs w:val="28"/>
        </w:rPr>
        <w:footnoteReference w:id="9"/>
      </w:r>
      <w:r w:rsidR="00526011" w:rsidRPr="00526011">
        <w:rPr>
          <w:rFonts w:cs="Arial"/>
          <w:szCs w:val="28"/>
        </w:rPr>
        <w:t xml:space="preserve"> este Tribunal </w:t>
      </w:r>
      <w:r w:rsidR="005712C5">
        <w:rPr>
          <w:rFonts w:cs="Arial"/>
          <w:szCs w:val="28"/>
        </w:rPr>
        <w:t xml:space="preserve">Pleno </w:t>
      </w:r>
      <w:r w:rsidR="00526011" w:rsidRPr="00526011">
        <w:rPr>
          <w:rFonts w:cs="Arial"/>
          <w:szCs w:val="28"/>
        </w:rPr>
        <w:t xml:space="preserve">complementó los estándares </w:t>
      </w:r>
      <w:r w:rsidR="005712C5">
        <w:rPr>
          <w:rFonts w:cs="Arial"/>
          <w:szCs w:val="28"/>
        </w:rPr>
        <w:t>referidos</w:t>
      </w:r>
      <w:r w:rsidR="00526011" w:rsidRPr="00526011">
        <w:rPr>
          <w:rFonts w:cs="Arial"/>
          <w:szCs w:val="28"/>
        </w:rPr>
        <w:t xml:space="preserve">, pues señaló que no solo deben respetarse los cauces que permitan a las mayorías y a las minorías parlamentarias expresar y defender su opinión en un contexto de deliberación pública, sino también atender los lineamientos relacionados con el derecho a la participación deliberativa, consistente en que todas </w:t>
      </w:r>
      <w:r w:rsidR="005712C5">
        <w:rPr>
          <w:rFonts w:cs="Arial"/>
          <w:szCs w:val="28"/>
        </w:rPr>
        <w:t>asuntos sometidos</w:t>
      </w:r>
      <w:r w:rsidR="00526011" w:rsidRPr="00526011">
        <w:rPr>
          <w:rFonts w:cs="Arial"/>
          <w:szCs w:val="28"/>
        </w:rPr>
        <w:t xml:space="preserve"> a votación del órgano legislativo sucedan en un contexto de deliberación por las partes a quienes la ley les otorga el derecho de intervenir en los debates.</w:t>
      </w:r>
    </w:p>
    <w:p w:rsidR="00526011" w:rsidRPr="00526011" w:rsidRDefault="00526011" w:rsidP="00526011">
      <w:pPr>
        <w:rPr>
          <w:rFonts w:cs="Arial"/>
          <w:szCs w:val="28"/>
        </w:rPr>
      </w:pPr>
    </w:p>
    <w:p w:rsidR="00526011" w:rsidRPr="00526011" w:rsidRDefault="00526011" w:rsidP="00526011">
      <w:pPr>
        <w:rPr>
          <w:rFonts w:cs="Arial"/>
          <w:szCs w:val="28"/>
        </w:rPr>
      </w:pPr>
      <w:r w:rsidRPr="00526011">
        <w:rPr>
          <w:rFonts w:cs="Arial"/>
          <w:szCs w:val="28"/>
        </w:rPr>
        <w:t xml:space="preserve">Dichos estándares relativos al análisis de violaciones cometidas durante el desarrollo de los procedimientos legislativos fueron confirmados en las acciones de inconstitucionalidad 36/2013 y su </w:t>
      </w:r>
      <w:r w:rsidR="00910B1F">
        <w:rPr>
          <w:rFonts w:cs="Arial"/>
          <w:szCs w:val="28"/>
        </w:rPr>
        <w:t>acumulada 37/2013</w:t>
      </w:r>
      <w:r w:rsidR="00910B1F">
        <w:rPr>
          <w:rStyle w:val="Refdenotaalpie"/>
          <w:rFonts w:cs="Arial"/>
          <w:szCs w:val="28"/>
        </w:rPr>
        <w:footnoteReference w:id="10"/>
      </w:r>
      <w:r w:rsidRPr="00526011">
        <w:rPr>
          <w:rFonts w:cs="Arial"/>
          <w:szCs w:val="28"/>
        </w:rPr>
        <w:t xml:space="preserve"> y en las acciones de inconstitucionalidad 50/2015 y sus acumuladas 55/2015, 56/2015 y 58/2015</w:t>
      </w:r>
      <w:r w:rsidR="00910B1F">
        <w:rPr>
          <w:rStyle w:val="Refdenotaalpie"/>
          <w:rFonts w:cs="Arial"/>
          <w:szCs w:val="28"/>
        </w:rPr>
        <w:footnoteReference w:id="11"/>
      </w:r>
      <w:r w:rsidRPr="00526011">
        <w:rPr>
          <w:rFonts w:cs="Arial"/>
          <w:szCs w:val="28"/>
        </w:rPr>
        <w:t xml:space="preserve">.  </w:t>
      </w:r>
    </w:p>
    <w:p w:rsidR="00526011" w:rsidRPr="00526011" w:rsidRDefault="00526011" w:rsidP="00526011">
      <w:pPr>
        <w:rPr>
          <w:rFonts w:cs="Arial"/>
          <w:szCs w:val="28"/>
        </w:rPr>
      </w:pPr>
    </w:p>
    <w:p w:rsidR="00526011" w:rsidRPr="00526011" w:rsidRDefault="00526011" w:rsidP="00526011">
      <w:pPr>
        <w:rPr>
          <w:rFonts w:cs="Arial"/>
          <w:szCs w:val="28"/>
        </w:rPr>
      </w:pPr>
      <w:r w:rsidRPr="00526011">
        <w:rPr>
          <w:rFonts w:cs="Arial"/>
          <w:szCs w:val="28"/>
        </w:rPr>
        <w:t xml:space="preserve">En ese sentido, esta Suprema Corte de Justicia de la Nación en varias acciones de inconstitucionalidad ha considerado que dentro del procedimiento legislativo pueden suceder violaciones a las reglas que regulan el procedimiento legislativo de carácter formal que trascienden de manera fundamental a la disposición normativa, de manera tal que provocan su invalidez o inconstitucionalidad; aunque también ha sostenido que pueden suscitarse irregularidades </w:t>
      </w:r>
      <w:r w:rsidR="00910B1F">
        <w:rPr>
          <w:rFonts w:cs="Arial"/>
          <w:szCs w:val="28"/>
        </w:rPr>
        <w:t>de ese mismo carácter</w:t>
      </w:r>
      <w:r w:rsidRPr="00526011">
        <w:rPr>
          <w:rFonts w:cs="Arial"/>
          <w:szCs w:val="28"/>
        </w:rPr>
        <w:t xml:space="preserve"> que por s</w:t>
      </w:r>
      <w:r w:rsidR="00EA0A95">
        <w:rPr>
          <w:rFonts w:cs="Arial"/>
          <w:szCs w:val="28"/>
        </w:rPr>
        <w:t>u entidad no afectan su validez</w:t>
      </w:r>
      <w:r w:rsidRPr="00526011">
        <w:rPr>
          <w:rFonts w:cs="Arial"/>
          <w:szCs w:val="28"/>
        </w:rPr>
        <w:t>.</w:t>
      </w:r>
    </w:p>
    <w:p w:rsidR="00526011" w:rsidRPr="00526011" w:rsidRDefault="00526011" w:rsidP="00910B1F">
      <w:pPr>
        <w:ind w:firstLine="0"/>
        <w:rPr>
          <w:rFonts w:cs="Arial"/>
          <w:szCs w:val="28"/>
        </w:rPr>
      </w:pPr>
    </w:p>
    <w:p w:rsidR="00526011" w:rsidRDefault="00526011" w:rsidP="00526011">
      <w:pPr>
        <w:rPr>
          <w:rFonts w:cs="Arial"/>
          <w:szCs w:val="28"/>
        </w:rPr>
      </w:pPr>
      <w:r w:rsidRPr="00526011">
        <w:rPr>
          <w:rFonts w:cs="Arial"/>
          <w:szCs w:val="28"/>
        </w:rPr>
        <w:t xml:space="preserve">En suma, el análisis que el órgano jurisdiccional debe realizar cuando revisa el procedimiento legislativo por el que fue emitida una </w:t>
      </w:r>
      <w:r w:rsidRPr="00526011">
        <w:rPr>
          <w:rFonts w:cs="Arial"/>
          <w:szCs w:val="28"/>
        </w:rPr>
        <w:lastRenderedPageBreak/>
        <w:t>disposición normativa es el que se dirige a determinar si la existencia de una violación o irregularidad trasciende o no de modo fundamental en su validez constitucional, sobre la base de los principios de economía procesal y equidad en la deliberación parlamentaria y en atención a las particularidades del caso.</w:t>
      </w:r>
    </w:p>
    <w:p w:rsidR="00526011" w:rsidRDefault="00526011" w:rsidP="000E713B">
      <w:pPr>
        <w:rPr>
          <w:rFonts w:cs="Arial"/>
          <w:szCs w:val="28"/>
        </w:rPr>
      </w:pPr>
    </w:p>
    <w:p w:rsidR="00526011" w:rsidRDefault="008937EA" w:rsidP="000E713B">
      <w:pPr>
        <w:rPr>
          <w:rFonts w:cs="Arial"/>
          <w:szCs w:val="28"/>
        </w:rPr>
      </w:pPr>
      <w:r>
        <w:rPr>
          <w:rFonts w:cs="Arial"/>
          <w:szCs w:val="28"/>
        </w:rPr>
        <w:t>Ahora,</w:t>
      </w:r>
      <w:r w:rsidR="00225A0A">
        <w:rPr>
          <w:rFonts w:cs="Arial"/>
          <w:szCs w:val="28"/>
        </w:rPr>
        <w:t xml:space="preserve"> con base en lo anterior, en el caso concreto será analizado el procedimiento legislativo que culminó con la expedición del decreto impugnado, el cual fue desarrollado en los siguientes términos según las constancias que obran en autos. </w:t>
      </w:r>
      <w:r>
        <w:rPr>
          <w:rFonts w:cs="Arial"/>
          <w:szCs w:val="28"/>
        </w:rPr>
        <w:t xml:space="preserve"> </w:t>
      </w:r>
    </w:p>
    <w:p w:rsidR="00621A1C" w:rsidRDefault="00621A1C" w:rsidP="000E713B">
      <w:pPr>
        <w:rPr>
          <w:rFonts w:cs="Arial"/>
          <w:szCs w:val="28"/>
        </w:rPr>
      </w:pPr>
    </w:p>
    <w:p w:rsidR="004418BD" w:rsidRDefault="00621A1C" w:rsidP="000E713B">
      <w:pPr>
        <w:rPr>
          <w:rFonts w:cs="Arial"/>
          <w:szCs w:val="28"/>
        </w:rPr>
      </w:pPr>
      <w:r>
        <w:rPr>
          <w:rFonts w:cs="Arial"/>
          <w:szCs w:val="28"/>
        </w:rPr>
        <w:t xml:space="preserve">En ese sentido, según </w:t>
      </w:r>
      <w:r w:rsidR="004418BD">
        <w:rPr>
          <w:rFonts w:cs="Arial"/>
          <w:szCs w:val="28"/>
        </w:rPr>
        <w:t>lo establecido en la Ley Orgánica del Congreso del Estado de Sinaloa, el procedimiento legislativo en esa entidad federativa debe desarrollarse en los siguientes términos.</w:t>
      </w:r>
    </w:p>
    <w:p w:rsidR="004418BD" w:rsidRDefault="004418BD" w:rsidP="000E713B">
      <w:pPr>
        <w:rPr>
          <w:rFonts w:cs="Arial"/>
          <w:szCs w:val="28"/>
        </w:rPr>
      </w:pPr>
    </w:p>
    <w:p w:rsidR="00621A1C" w:rsidRDefault="004418BD" w:rsidP="000E713B">
      <w:pPr>
        <w:rPr>
          <w:rFonts w:cs="Arial"/>
          <w:szCs w:val="28"/>
        </w:rPr>
      </w:pPr>
      <w:r>
        <w:rPr>
          <w:rFonts w:cs="Arial"/>
          <w:szCs w:val="28"/>
        </w:rPr>
        <w:t>Toda iniciativa de ley primeramente</w:t>
      </w:r>
      <w:r w:rsidRPr="004418BD">
        <w:rPr>
          <w:rFonts w:cs="Arial"/>
          <w:szCs w:val="28"/>
        </w:rPr>
        <w:t xml:space="preserve"> debe pasar a la Comisión de Protocolo y Régimen Orgánico Interior para que determine si cumple con los requisitos de ley y pueda ser registrada a efectos de ser turnada a su lectura correspondiente</w:t>
      </w:r>
      <w:r>
        <w:rPr>
          <w:rStyle w:val="Refdenotaalpie"/>
          <w:rFonts w:cs="Arial"/>
          <w:szCs w:val="28"/>
        </w:rPr>
        <w:footnoteReference w:id="12"/>
      </w:r>
      <w:r w:rsidRPr="004418BD">
        <w:rPr>
          <w:rFonts w:cs="Arial"/>
          <w:szCs w:val="28"/>
        </w:rPr>
        <w:t>.</w:t>
      </w:r>
      <w:r w:rsidR="00621A1C">
        <w:rPr>
          <w:rFonts w:cs="Arial"/>
          <w:szCs w:val="28"/>
        </w:rPr>
        <w:t xml:space="preserve"> </w:t>
      </w:r>
    </w:p>
    <w:p w:rsidR="004418BD" w:rsidRDefault="004418BD" w:rsidP="000E713B">
      <w:pPr>
        <w:rPr>
          <w:rFonts w:cs="Arial"/>
          <w:szCs w:val="28"/>
        </w:rPr>
      </w:pPr>
    </w:p>
    <w:p w:rsidR="004418BD" w:rsidRPr="004418BD" w:rsidRDefault="004418BD" w:rsidP="004418BD">
      <w:pPr>
        <w:rPr>
          <w:rFonts w:cs="Arial"/>
          <w:szCs w:val="28"/>
        </w:rPr>
      </w:pPr>
      <w:r w:rsidRPr="004418BD">
        <w:rPr>
          <w:rFonts w:cs="Arial"/>
          <w:szCs w:val="28"/>
        </w:rPr>
        <w:t xml:space="preserve">Las iniciativas presentadas </w:t>
      </w:r>
      <w:r w:rsidR="0041077A">
        <w:rPr>
          <w:rFonts w:cs="Arial"/>
          <w:szCs w:val="28"/>
        </w:rPr>
        <w:t>deben leerse en dos sesiones diferentes:</w:t>
      </w:r>
      <w:r w:rsidRPr="004418BD">
        <w:rPr>
          <w:rFonts w:cs="Arial"/>
          <w:szCs w:val="28"/>
        </w:rPr>
        <w:t xml:space="preserve"> primero en la que fueren presentadas y después en la que disponga la Mesa Directiva del Congreso</w:t>
      </w:r>
      <w:r w:rsidR="0041077A">
        <w:rPr>
          <w:rFonts w:cs="Arial"/>
          <w:szCs w:val="28"/>
        </w:rPr>
        <w:t xml:space="preserve">, salvo que </w:t>
      </w:r>
      <w:r w:rsidR="0041077A" w:rsidRPr="004418BD">
        <w:rPr>
          <w:rFonts w:cs="Arial"/>
          <w:szCs w:val="28"/>
        </w:rPr>
        <w:t xml:space="preserve">el texto de la iniciativa se haya distribuido con anticipación, </w:t>
      </w:r>
      <w:r w:rsidR="0041077A">
        <w:rPr>
          <w:rFonts w:cs="Arial"/>
          <w:szCs w:val="28"/>
        </w:rPr>
        <w:t xml:space="preserve"> en cuyo caso </w:t>
      </w:r>
      <w:r w:rsidR="0041077A" w:rsidRPr="004418BD">
        <w:rPr>
          <w:rFonts w:cs="Arial"/>
          <w:szCs w:val="28"/>
        </w:rPr>
        <w:t>podrá ser tramitada con una sola lectura con la aprobación de la Asamblea</w:t>
      </w:r>
      <w:r w:rsidR="0041077A">
        <w:rPr>
          <w:rStyle w:val="Refdenotaalpie"/>
          <w:rFonts w:cs="Arial"/>
          <w:szCs w:val="28"/>
        </w:rPr>
        <w:footnoteReference w:id="13"/>
      </w:r>
      <w:r w:rsidR="0041077A" w:rsidRPr="004418BD">
        <w:rPr>
          <w:rFonts w:cs="Arial"/>
          <w:szCs w:val="28"/>
        </w:rPr>
        <w:t>.</w:t>
      </w:r>
      <w:r w:rsidR="0041077A">
        <w:rPr>
          <w:rFonts w:cs="Arial"/>
          <w:szCs w:val="28"/>
        </w:rPr>
        <w:t xml:space="preserve"> </w:t>
      </w:r>
      <w:r w:rsidR="0041077A">
        <w:rPr>
          <w:rFonts w:cs="Arial"/>
          <w:szCs w:val="28"/>
        </w:rPr>
        <w:lastRenderedPageBreak/>
        <w:t>Asimismo, p</w:t>
      </w:r>
      <w:r w:rsidRPr="004418BD">
        <w:rPr>
          <w:rFonts w:cs="Arial"/>
          <w:szCs w:val="28"/>
        </w:rPr>
        <w:t>odrá</w:t>
      </w:r>
      <w:r w:rsidR="0041077A">
        <w:rPr>
          <w:rFonts w:cs="Arial"/>
          <w:szCs w:val="28"/>
        </w:rPr>
        <w:t xml:space="preserve"> dispensarse la segunda lectura</w:t>
      </w:r>
      <w:r w:rsidRPr="004418BD">
        <w:rPr>
          <w:rFonts w:cs="Arial"/>
          <w:szCs w:val="28"/>
        </w:rPr>
        <w:t xml:space="preserve"> siempre q</w:t>
      </w:r>
      <w:r w:rsidR="0041077A">
        <w:rPr>
          <w:rFonts w:cs="Arial"/>
          <w:szCs w:val="28"/>
        </w:rPr>
        <w:t>ue la Cámara lo acuerde</w:t>
      </w:r>
      <w:r w:rsidRPr="004418BD">
        <w:rPr>
          <w:rFonts w:cs="Arial"/>
          <w:szCs w:val="28"/>
        </w:rPr>
        <w:t xml:space="preserve"> a petición de algún Diputado</w:t>
      </w:r>
      <w:r w:rsidR="0041077A">
        <w:rPr>
          <w:rStyle w:val="Refdenotaalpie"/>
          <w:rFonts w:cs="Arial"/>
          <w:szCs w:val="28"/>
        </w:rPr>
        <w:footnoteReference w:id="14"/>
      </w:r>
      <w:r w:rsidRPr="004418BD">
        <w:rPr>
          <w:rFonts w:cs="Arial"/>
          <w:szCs w:val="28"/>
        </w:rPr>
        <w:t>.</w:t>
      </w:r>
    </w:p>
    <w:p w:rsidR="004418BD" w:rsidRPr="004418BD" w:rsidRDefault="004418BD" w:rsidP="004418BD">
      <w:pPr>
        <w:rPr>
          <w:rFonts w:cs="Arial"/>
          <w:szCs w:val="28"/>
        </w:rPr>
      </w:pPr>
    </w:p>
    <w:p w:rsidR="004418BD" w:rsidRPr="004418BD" w:rsidRDefault="0041077A" w:rsidP="004418BD">
      <w:pPr>
        <w:rPr>
          <w:rFonts w:cs="Arial"/>
          <w:szCs w:val="28"/>
        </w:rPr>
      </w:pPr>
      <w:r>
        <w:rPr>
          <w:rFonts w:cs="Arial"/>
          <w:szCs w:val="28"/>
        </w:rPr>
        <w:t>D</w:t>
      </w:r>
      <w:r w:rsidR="0033388F">
        <w:rPr>
          <w:rFonts w:cs="Arial"/>
          <w:szCs w:val="28"/>
        </w:rPr>
        <w:t>espués de la segunda lectura</w:t>
      </w:r>
      <w:r w:rsidR="004418BD" w:rsidRPr="004418BD">
        <w:rPr>
          <w:rFonts w:cs="Arial"/>
          <w:szCs w:val="28"/>
        </w:rPr>
        <w:t xml:space="preserve"> si la hubiere o en caso de su dispensa, </w:t>
      </w:r>
      <w:r w:rsidR="0033388F">
        <w:rPr>
          <w:rFonts w:cs="Arial"/>
          <w:szCs w:val="28"/>
        </w:rPr>
        <w:t>será consultado a la Cámara</w:t>
      </w:r>
      <w:r w:rsidR="004418BD" w:rsidRPr="004418BD">
        <w:rPr>
          <w:rFonts w:cs="Arial"/>
          <w:szCs w:val="28"/>
        </w:rPr>
        <w:t xml:space="preserve"> si se toma o no </w:t>
      </w:r>
      <w:r w:rsidR="0033388F">
        <w:rPr>
          <w:rFonts w:cs="Arial"/>
          <w:szCs w:val="28"/>
        </w:rPr>
        <w:t>en consideración la iniciativa. S</w:t>
      </w:r>
      <w:r w:rsidR="004418BD" w:rsidRPr="004418BD">
        <w:rPr>
          <w:rFonts w:cs="Arial"/>
          <w:szCs w:val="28"/>
        </w:rPr>
        <w:t>i la resolución fuere afirmativa se pasará a la Comisión que corresponda y si fuese negativa, se tendrá por desechada y no podrá volver a presentarse en el mismo período de sesiones</w:t>
      </w:r>
      <w:r w:rsidR="00EA48D1">
        <w:rPr>
          <w:rStyle w:val="Refdenotaalpie"/>
          <w:rFonts w:cs="Arial"/>
          <w:szCs w:val="28"/>
        </w:rPr>
        <w:footnoteReference w:id="15"/>
      </w:r>
      <w:r w:rsidR="004418BD" w:rsidRPr="004418BD">
        <w:rPr>
          <w:rFonts w:cs="Arial"/>
          <w:szCs w:val="28"/>
        </w:rPr>
        <w:t>.</w:t>
      </w:r>
    </w:p>
    <w:p w:rsidR="004418BD" w:rsidRPr="004418BD" w:rsidRDefault="004418BD" w:rsidP="004418BD">
      <w:pPr>
        <w:rPr>
          <w:rFonts w:cs="Arial"/>
          <w:szCs w:val="28"/>
        </w:rPr>
      </w:pPr>
    </w:p>
    <w:p w:rsidR="00EA48D1" w:rsidRDefault="00EA48D1" w:rsidP="004418BD">
      <w:pPr>
        <w:rPr>
          <w:rFonts w:cs="Arial"/>
          <w:szCs w:val="28"/>
        </w:rPr>
      </w:pPr>
      <w:r w:rsidRPr="004418BD">
        <w:rPr>
          <w:rFonts w:cs="Arial"/>
          <w:szCs w:val="28"/>
        </w:rPr>
        <w:t>Toda iniciativa deberá ser dic</w:t>
      </w:r>
      <w:r w:rsidR="00484F85">
        <w:rPr>
          <w:rFonts w:cs="Arial"/>
          <w:szCs w:val="28"/>
        </w:rPr>
        <w:t>taminada por la comisión o las c</w:t>
      </w:r>
      <w:r w:rsidRPr="004418BD">
        <w:rPr>
          <w:rFonts w:cs="Arial"/>
          <w:szCs w:val="28"/>
        </w:rPr>
        <w:t>omisiones respectivas, dentro de un plazo máximo de seis meses, contados a partir del día siguien</w:t>
      </w:r>
      <w:r w:rsidR="00484F85">
        <w:rPr>
          <w:rFonts w:cs="Arial"/>
          <w:szCs w:val="28"/>
        </w:rPr>
        <w:t>te en que fueren turnadas a la comisión o c</w:t>
      </w:r>
      <w:r w:rsidRPr="004418BD">
        <w:rPr>
          <w:rFonts w:cs="Arial"/>
          <w:szCs w:val="28"/>
        </w:rPr>
        <w:t>omisiones correspondientes, con excepc</w:t>
      </w:r>
      <w:r w:rsidR="00484F85">
        <w:rPr>
          <w:rFonts w:cs="Arial"/>
          <w:szCs w:val="28"/>
        </w:rPr>
        <w:t>ión del caso de iniciativas de l</w:t>
      </w:r>
      <w:r w:rsidRPr="004418BD">
        <w:rPr>
          <w:rFonts w:cs="Arial"/>
          <w:szCs w:val="28"/>
        </w:rPr>
        <w:t>ey que propongan nuevos cuerpos normativos</w:t>
      </w:r>
      <w:r>
        <w:rPr>
          <w:rStyle w:val="Refdenotaalpie"/>
          <w:rFonts w:cs="Arial"/>
          <w:szCs w:val="28"/>
        </w:rPr>
        <w:footnoteReference w:id="16"/>
      </w:r>
      <w:r>
        <w:rPr>
          <w:rFonts w:cs="Arial"/>
          <w:szCs w:val="28"/>
        </w:rPr>
        <w:t>.</w:t>
      </w:r>
    </w:p>
    <w:p w:rsidR="00B743F4" w:rsidRPr="00B743F4" w:rsidRDefault="004418BD" w:rsidP="00B743F4">
      <w:pPr>
        <w:rPr>
          <w:rFonts w:cs="Arial"/>
          <w:szCs w:val="28"/>
        </w:rPr>
      </w:pPr>
      <w:r w:rsidRPr="004418BD">
        <w:rPr>
          <w:rFonts w:cs="Arial"/>
          <w:szCs w:val="28"/>
        </w:rPr>
        <w:t xml:space="preserve"> </w:t>
      </w:r>
    </w:p>
    <w:p w:rsidR="00B743F4" w:rsidRPr="00B743F4" w:rsidRDefault="00B743F4" w:rsidP="00B743F4">
      <w:pPr>
        <w:tabs>
          <w:tab w:val="left" w:pos="1440"/>
        </w:tabs>
        <w:rPr>
          <w:rFonts w:cs="Arial"/>
          <w:szCs w:val="28"/>
        </w:rPr>
      </w:pPr>
      <w:r w:rsidRPr="00B743F4">
        <w:rPr>
          <w:rFonts w:cs="Arial"/>
          <w:szCs w:val="28"/>
        </w:rPr>
        <w:t>Las Comisiones tomarán sus decisiones por mayoría de votos de sus miembros</w:t>
      </w:r>
      <w:r w:rsidR="001F150B">
        <w:rPr>
          <w:rFonts w:cs="Arial"/>
          <w:szCs w:val="28"/>
        </w:rPr>
        <w:t xml:space="preserve"> y si uno de ellos disiente</w:t>
      </w:r>
      <w:r w:rsidRPr="00B743F4">
        <w:rPr>
          <w:rFonts w:cs="Arial"/>
          <w:szCs w:val="28"/>
        </w:rPr>
        <w:t xml:space="preserve"> de la resolución adoptada, podrá expresar su voto particular</w:t>
      </w:r>
      <w:r w:rsidR="001F150B">
        <w:rPr>
          <w:rStyle w:val="Refdenotaalpie"/>
          <w:rFonts w:cs="Arial"/>
          <w:szCs w:val="28"/>
        </w:rPr>
        <w:footnoteReference w:id="17"/>
      </w:r>
      <w:r w:rsidRPr="00B743F4">
        <w:rPr>
          <w:rFonts w:cs="Arial"/>
          <w:szCs w:val="28"/>
        </w:rPr>
        <w:t>.</w:t>
      </w:r>
    </w:p>
    <w:p w:rsidR="00B743F4" w:rsidRPr="00B743F4" w:rsidRDefault="00B743F4" w:rsidP="00B743F4">
      <w:pPr>
        <w:tabs>
          <w:tab w:val="left" w:pos="1440"/>
        </w:tabs>
        <w:rPr>
          <w:rFonts w:cs="Arial"/>
          <w:szCs w:val="28"/>
        </w:rPr>
      </w:pPr>
    </w:p>
    <w:p w:rsidR="00B743F4" w:rsidRDefault="00B743F4" w:rsidP="00B743F4">
      <w:pPr>
        <w:tabs>
          <w:tab w:val="left" w:pos="1440"/>
        </w:tabs>
        <w:rPr>
          <w:rFonts w:cs="Arial"/>
          <w:szCs w:val="28"/>
        </w:rPr>
      </w:pPr>
      <w:r w:rsidRPr="00B743F4">
        <w:rPr>
          <w:rFonts w:cs="Arial"/>
          <w:szCs w:val="28"/>
        </w:rPr>
        <w:t xml:space="preserve"> </w:t>
      </w:r>
      <w:r w:rsidR="004C4070">
        <w:rPr>
          <w:rFonts w:cs="Arial"/>
          <w:szCs w:val="28"/>
        </w:rPr>
        <w:t>F</w:t>
      </w:r>
      <w:r w:rsidRPr="00B743F4">
        <w:rPr>
          <w:rFonts w:cs="Arial"/>
          <w:szCs w:val="28"/>
        </w:rPr>
        <w:t xml:space="preserve">irmados los dictámenes por la mayoría de los </w:t>
      </w:r>
      <w:r w:rsidR="004C4070">
        <w:rPr>
          <w:rFonts w:cs="Arial"/>
          <w:szCs w:val="28"/>
        </w:rPr>
        <w:t>integrantes</w:t>
      </w:r>
      <w:r w:rsidRPr="00B743F4">
        <w:rPr>
          <w:rFonts w:cs="Arial"/>
          <w:szCs w:val="28"/>
        </w:rPr>
        <w:t xml:space="preserve"> de las </w:t>
      </w:r>
      <w:r w:rsidR="004C4070">
        <w:rPr>
          <w:rFonts w:cs="Arial"/>
          <w:szCs w:val="28"/>
        </w:rPr>
        <w:t>c</w:t>
      </w:r>
      <w:r w:rsidRPr="00B743F4">
        <w:rPr>
          <w:rFonts w:cs="Arial"/>
          <w:szCs w:val="28"/>
        </w:rPr>
        <w:t>omisiones encargadas de un asunto, se imprimirán junto con los votos particulares si los</w:t>
      </w:r>
      <w:r w:rsidR="004C4070">
        <w:rPr>
          <w:rFonts w:cs="Arial"/>
          <w:szCs w:val="28"/>
        </w:rPr>
        <w:t xml:space="preserve"> hubiere y se entregarán a los d</w:t>
      </w:r>
      <w:r w:rsidRPr="00B743F4">
        <w:rPr>
          <w:rFonts w:cs="Arial"/>
          <w:szCs w:val="28"/>
        </w:rPr>
        <w:t>iputados en la sesión correspondiente.</w:t>
      </w:r>
    </w:p>
    <w:p w:rsidR="00B743F4" w:rsidRDefault="00B743F4" w:rsidP="00B743F4">
      <w:pPr>
        <w:tabs>
          <w:tab w:val="left" w:pos="1440"/>
        </w:tabs>
        <w:rPr>
          <w:rFonts w:cs="Arial"/>
          <w:szCs w:val="28"/>
        </w:rPr>
      </w:pPr>
    </w:p>
    <w:p w:rsidR="004C4070" w:rsidRPr="004C4070" w:rsidRDefault="004C4070" w:rsidP="004C4070">
      <w:pPr>
        <w:tabs>
          <w:tab w:val="left" w:pos="1440"/>
        </w:tabs>
        <w:rPr>
          <w:rFonts w:cs="Arial"/>
          <w:szCs w:val="28"/>
        </w:rPr>
      </w:pPr>
      <w:r w:rsidRPr="004C4070">
        <w:rPr>
          <w:rFonts w:cs="Arial"/>
          <w:szCs w:val="28"/>
        </w:rPr>
        <w:t xml:space="preserve">Los dictámenes que emitan las Comisiones tendrán dos lecturas en diferentes sesiones, pero </w:t>
      </w:r>
      <w:r w:rsidR="00142DAC">
        <w:rPr>
          <w:rFonts w:cs="Arial"/>
          <w:szCs w:val="28"/>
        </w:rPr>
        <w:t>si es dispensada</w:t>
      </w:r>
      <w:r w:rsidRPr="004C4070">
        <w:rPr>
          <w:rFonts w:cs="Arial"/>
          <w:szCs w:val="28"/>
        </w:rPr>
        <w:t xml:space="preserve"> la segunda lectura se pondrá a discusión en la misma sesión</w:t>
      </w:r>
      <w:r w:rsidR="00142DAC">
        <w:rPr>
          <w:rStyle w:val="Refdenotaalpie"/>
          <w:rFonts w:cs="Arial"/>
          <w:szCs w:val="28"/>
        </w:rPr>
        <w:footnoteReference w:id="18"/>
      </w:r>
      <w:r w:rsidRPr="004C4070">
        <w:rPr>
          <w:rFonts w:cs="Arial"/>
          <w:szCs w:val="28"/>
        </w:rPr>
        <w:t xml:space="preserve">. </w:t>
      </w:r>
    </w:p>
    <w:p w:rsidR="004C4070" w:rsidRPr="004C4070" w:rsidRDefault="004C4070" w:rsidP="004C4070">
      <w:pPr>
        <w:tabs>
          <w:tab w:val="left" w:pos="1440"/>
        </w:tabs>
        <w:rPr>
          <w:rFonts w:cs="Arial"/>
          <w:szCs w:val="28"/>
        </w:rPr>
      </w:pPr>
    </w:p>
    <w:p w:rsidR="00B743F4" w:rsidRDefault="00142DAC" w:rsidP="00B743F4">
      <w:pPr>
        <w:tabs>
          <w:tab w:val="left" w:pos="1440"/>
        </w:tabs>
        <w:rPr>
          <w:rFonts w:cs="Arial"/>
          <w:szCs w:val="28"/>
        </w:rPr>
      </w:pPr>
      <w:r w:rsidRPr="00142DAC">
        <w:rPr>
          <w:rFonts w:cs="Arial"/>
          <w:szCs w:val="28"/>
        </w:rPr>
        <w:t xml:space="preserve">No podrá </w:t>
      </w:r>
      <w:r>
        <w:rPr>
          <w:rFonts w:cs="Arial"/>
          <w:szCs w:val="28"/>
        </w:rPr>
        <w:t>discutirse ningún proyecto de ley o d</w:t>
      </w:r>
      <w:r w:rsidRPr="00142DAC">
        <w:rPr>
          <w:rFonts w:cs="Arial"/>
          <w:szCs w:val="28"/>
        </w:rPr>
        <w:t>ecreto sin que previa</w:t>
      </w:r>
      <w:r>
        <w:rPr>
          <w:rFonts w:cs="Arial"/>
          <w:szCs w:val="28"/>
        </w:rPr>
        <w:t>mente se hayan repartido a los d</w:t>
      </w:r>
      <w:r w:rsidRPr="00142DAC">
        <w:rPr>
          <w:rFonts w:cs="Arial"/>
          <w:szCs w:val="28"/>
        </w:rPr>
        <w:t xml:space="preserve">iputados las copias que contengan el dictamen. Llegado el momento de la discusión se leerá el dictamen de la Comisión y una vez concluido el Presidente declarará: </w:t>
      </w:r>
      <w:r w:rsidRPr="00E05C8B">
        <w:rPr>
          <w:rFonts w:cs="Arial"/>
          <w:i/>
          <w:szCs w:val="28"/>
        </w:rPr>
        <w:t>"Está a discusión el dictamen"</w:t>
      </w:r>
      <w:r>
        <w:rPr>
          <w:rStyle w:val="Refdenotaalpie"/>
          <w:rFonts w:cs="Arial"/>
          <w:szCs w:val="28"/>
        </w:rPr>
        <w:footnoteReference w:id="19"/>
      </w:r>
      <w:r w:rsidRPr="00142DAC">
        <w:rPr>
          <w:rFonts w:cs="Arial"/>
          <w:szCs w:val="28"/>
        </w:rPr>
        <w:t>.</w:t>
      </w:r>
    </w:p>
    <w:p w:rsidR="004418BD" w:rsidRDefault="004418BD" w:rsidP="000E713B">
      <w:pPr>
        <w:rPr>
          <w:rFonts w:cs="Arial"/>
          <w:szCs w:val="28"/>
        </w:rPr>
      </w:pPr>
    </w:p>
    <w:p w:rsidR="00142DAC" w:rsidRPr="00142DAC" w:rsidRDefault="00142DAC" w:rsidP="00142DAC">
      <w:pPr>
        <w:rPr>
          <w:rFonts w:cs="Arial"/>
          <w:szCs w:val="28"/>
        </w:rPr>
      </w:pPr>
      <w:r>
        <w:rPr>
          <w:rFonts w:cs="Arial"/>
          <w:szCs w:val="28"/>
        </w:rPr>
        <w:t>Todo dictamen de ley o d</w:t>
      </w:r>
      <w:r w:rsidRPr="00142DAC">
        <w:rPr>
          <w:rFonts w:cs="Arial"/>
          <w:szCs w:val="28"/>
        </w:rPr>
        <w:t>ecreto se discutirá primero en lo general y después en lo particular</w:t>
      </w:r>
      <w:r>
        <w:rPr>
          <w:rFonts w:cs="Arial"/>
          <w:szCs w:val="28"/>
        </w:rPr>
        <w:t xml:space="preserve">. </w:t>
      </w:r>
      <w:r w:rsidRPr="00142DAC">
        <w:rPr>
          <w:rFonts w:cs="Arial"/>
          <w:szCs w:val="28"/>
        </w:rPr>
        <w:t xml:space="preserve">La </w:t>
      </w:r>
      <w:r>
        <w:rPr>
          <w:rFonts w:cs="Arial"/>
          <w:szCs w:val="28"/>
        </w:rPr>
        <w:t>discusión en lo general se hará mediante la participación de dos</w:t>
      </w:r>
      <w:r w:rsidRPr="00142DAC">
        <w:rPr>
          <w:rFonts w:cs="Arial"/>
          <w:szCs w:val="28"/>
        </w:rPr>
        <w:t xml:space="preserve"> </w:t>
      </w:r>
      <w:r>
        <w:rPr>
          <w:rFonts w:cs="Arial"/>
          <w:szCs w:val="28"/>
        </w:rPr>
        <w:t>d</w:t>
      </w:r>
      <w:r w:rsidRPr="00142DAC">
        <w:rPr>
          <w:rFonts w:cs="Arial"/>
          <w:szCs w:val="28"/>
        </w:rPr>
        <w:t>iputados a favor y dos en contra, haciendo uso de la voz primero los que estén en contra y los que estén a favor lo harán al final.</w:t>
      </w:r>
    </w:p>
    <w:p w:rsidR="00142DAC" w:rsidRPr="00142DAC" w:rsidRDefault="00142DAC" w:rsidP="00142DAC">
      <w:pPr>
        <w:rPr>
          <w:rFonts w:cs="Arial"/>
          <w:szCs w:val="28"/>
        </w:rPr>
      </w:pPr>
    </w:p>
    <w:p w:rsidR="00142DAC" w:rsidRDefault="00142DAC" w:rsidP="00142DAC">
      <w:pPr>
        <w:rPr>
          <w:rFonts w:cs="Arial"/>
          <w:szCs w:val="28"/>
        </w:rPr>
      </w:pPr>
      <w:r w:rsidRPr="00142DAC">
        <w:rPr>
          <w:rFonts w:cs="Arial"/>
          <w:szCs w:val="28"/>
        </w:rPr>
        <w:t>Agotada la discusión en lo general, se ordenará por el Presidente proceder a la votación.</w:t>
      </w:r>
      <w:r>
        <w:rPr>
          <w:rFonts w:cs="Arial"/>
          <w:szCs w:val="28"/>
        </w:rPr>
        <w:t xml:space="preserve"> </w:t>
      </w:r>
      <w:r w:rsidRPr="00142DAC">
        <w:rPr>
          <w:rFonts w:cs="Arial"/>
          <w:szCs w:val="28"/>
        </w:rPr>
        <w:t>Aprobado en lo general el proyecto, se continuará su discusión en lo particular en los artículos que se hubiesen anotado por la Presidencia, observándose los lineamientos anteriores</w:t>
      </w:r>
      <w:r>
        <w:rPr>
          <w:rStyle w:val="Refdenotaalpie"/>
          <w:rFonts w:cs="Arial"/>
          <w:szCs w:val="28"/>
        </w:rPr>
        <w:footnoteReference w:id="20"/>
      </w:r>
      <w:r w:rsidRPr="00142DAC">
        <w:rPr>
          <w:rFonts w:cs="Arial"/>
          <w:szCs w:val="28"/>
        </w:rPr>
        <w:t>.</w:t>
      </w:r>
    </w:p>
    <w:p w:rsidR="00DC6025" w:rsidRDefault="00DC6025" w:rsidP="00142DAC">
      <w:pPr>
        <w:rPr>
          <w:rFonts w:cs="Arial"/>
          <w:szCs w:val="28"/>
        </w:rPr>
      </w:pPr>
    </w:p>
    <w:p w:rsidR="00DC6025" w:rsidRPr="00142DAC" w:rsidRDefault="00DC6025" w:rsidP="00142DAC">
      <w:pPr>
        <w:rPr>
          <w:rFonts w:cs="Arial"/>
          <w:szCs w:val="28"/>
        </w:rPr>
      </w:pPr>
      <w:r>
        <w:rPr>
          <w:rFonts w:cs="Arial"/>
          <w:szCs w:val="28"/>
        </w:rPr>
        <w:t>Si ningún d</w:t>
      </w:r>
      <w:r w:rsidR="002A1E80">
        <w:rPr>
          <w:rFonts w:cs="Arial"/>
          <w:szCs w:val="28"/>
        </w:rPr>
        <w:t>iputado pide</w:t>
      </w:r>
      <w:r w:rsidRPr="00DC6025">
        <w:rPr>
          <w:rFonts w:cs="Arial"/>
          <w:szCs w:val="28"/>
        </w:rPr>
        <w:t xml:space="preserve"> la palabra en contra de algún dictamen, se considerará discutido</w:t>
      </w:r>
      <w:r>
        <w:rPr>
          <w:rFonts w:cs="Arial"/>
          <w:szCs w:val="28"/>
        </w:rPr>
        <w:t xml:space="preserve"> y procederá</w:t>
      </w:r>
      <w:r w:rsidRPr="00DC6025">
        <w:rPr>
          <w:rFonts w:cs="Arial"/>
          <w:szCs w:val="28"/>
        </w:rPr>
        <w:t xml:space="preserve"> su votación</w:t>
      </w:r>
      <w:r>
        <w:rPr>
          <w:rStyle w:val="Refdenotaalpie"/>
          <w:rFonts w:cs="Arial"/>
          <w:szCs w:val="28"/>
        </w:rPr>
        <w:footnoteReference w:id="21"/>
      </w:r>
      <w:r w:rsidRPr="00DC6025">
        <w:rPr>
          <w:rFonts w:cs="Arial"/>
          <w:szCs w:val="28"/>
        </w:rPr>
        <w:t>.</w:t>
      </w:r>
      <w:r>
        <w:rPr>
          <w:rFonts w:cs="Arial"/>
          <w:szCs w:val="28"/>
        </w:rPr>
        <w:t xml:space="preserve"> </w:t>
      </w:r>
      <w:r w:rsidRPr="00DC6025">
        <w:rPr>
          <w:rFonts w:cs="Arial"/>
          <w:szCs w:val="28"/>
        </w:rPr>
        <w:t>Agotada la discusión en lo general o en lo particular, se ordenará por el Presidente que</w:t>
      </w:r>
      <w:r>
        <w:rPr>
          <w:rFonts w:cs="Arial"/>
          <w:szCs w:val="28"/>
        </w:rPr>
        <w:t xml:space="preserve"> procederá la votación por los d</w:t>
      </w:r>
      <w:r w:rsidRPr="00DC6025">
        <w:rPr>
          <w:rFonts w:cs="Arial"/>
          <w:szCs w:val="28"/>
        </w:rPr>
        <w:t>iputados</w:t>
      </w:r>
      <w:r>
        <w:rPr>
          <w:rStyle w:val="Refdenotaalpie"/>
          <w:rFonts w:cs="Arial"/>
          <w:szCs w:val="28"/>
        </w:rPr>
        <w:footnoteReference w:id="22"/>
      </w:r>
      <w:r w:rsidRPr="00DC6025">
        <w:rPr>
          <w:rFonts w:cs="Arial"/>
          <w:szCs w:val="28"/>
        </w:rPr>
        <w:t>.</w:t>
      </w:r>
    </w:p>
    <w:p w:rsidR="00142DAC" w:rsidRPr="00142DAC" w:rsidRDefault="00142DAC" w:rsidP="00142DAC">
      <w:pPr>
        <w:ind w:firstLine="0"/>
        <w:rPr>
          <w:rFonts w:cs="Arial"/>
          <w:szCs w:val="28"/>
        </w:rPr>
      </w:pPr>
    </w:p>
    <w:p w:rsidR="00142DAC" w:rsidRPr="00142DAC" w:rsidRDefault="008800CD" w:rsidP="00142DAC">
      <w:pPr>
        <w:rPr>
          <w:rFonts w:cs="Arial"/>
          <w:szCs w:val="28"/>
        </w:rPr>
      </w:pPr>
      <w:r w:rsidRPr="008800CD">
        <w:rPr>
          <w:rFonts w:cs="Arial"/>
          <w:szCs w:val="28"/>
        </w:rPr>
        <w:t>Serán económicas todas las votaciones con excepción de los casos en que se pida votación nominal, así como cuand</w:t>
      </w:r>
      <w:r>
        <w:rPr>
          <w:rFonts w:cs="Arial"/>
          <w:szCs w:val="28"/>
        </w:rPr>
        <w:t>o se trate de la aprobación de leyes o d</w:t>
      </w:r>
      <w:r w:rsidRPr="008800CD">
        <w:rPr>
          <w:rFonts w:cs="Arial"/>
          <w:szCs w:val="28"/>
        </w:rPr>
        <w:t>ecretos</w:t>
      </w:r>
      <w:r>
        <w:rPr>
          <w:rStyle w:val="Refdenotaalpie"/>
          <w:rFonts w:cs="Arial"/>
          <w:szCs w:val="28"/>
        </w:rPr>
        <w:footnoteReference w:id="23"/>
      </w:r>
      <w:r w:rsidRPr="008800CD">
        <w:rPr>
          <w:rFonts w:cs="Arial"/>
          <w:szCs w:val="28"/>
        </w:rPr>
        <w:t>.</w:t>
      </w:r>
      <w:r>
        <w:rPr>
          <w:rFonts w:cs="Arial"/>
          <w:szCs w:val="28"/>
        </w:rPr>
        <w:t xml:space="preserve"> Asimismo, t</w:t>
      </w:r>
      <w:r w:rsidR="00DC6025" w:rsidRPr="00DC6025">
        <w:rPr>
          <w:rFonts w:cs="Arial"/>
          <w:szCs w:val="28"/>
        </w:rPr>
        <w:t>odas la</w:t>
      </w:r>
      <w:r w:rsidR="00DC6025">
        <w:rPr>
          <w:rFonts w:cs="Arial"/>
          <w:szCs w:val="28"/>
        </w:rPr>
        <w:t>s votaciones de cualquier clase</w:t>
      </w:r>
      <w:r w:rsidR="00DC6025" w:rsidRPr="00DC6025">
        <w:rPr>
          <w:rFonts w:cs="Arial"/>
          <w:szCs w:val="28"/>
        </w:rPr>
        <w:t xml:space="preserve"> se verificarán a may</w:t>
      </w:r>
      <w:r w:rsidR="00DC6025">
        <w:rPr>
          <w:rFonts w:cs="Arial"/>
          <w:szCs w:val="28"/>
        </w:rPr>
        <w:t>oría absoluta de votos con los d</w:t>
      </w:r>
      <w:r w:rsidR="00DC6025" w:rsidRPr="00DC6025">
        <w:rPr>
          <w:rFonts w:cs="Arial"/>
          <w:szCs w:val="28"/>
        </w:rPr>
        <w:t>iputados que se encuentren presentes en el momento de la votación, si forman quórum, a no ser en aquellos casos</w:t>
      </w:r>
      <w:r w:rsidR="00DC6025">
        <w:rPr>
          <w:rFonts w:cs="Arial"/>
          <w:szCs w:val="28"/>
        </w:rPr>
        <w:t xml:space="preserve"> en que la Constitución o la l</w:t>
      </w:r>
      <w:r w:rsidR="00DC6025" w:rsidRPr="00DC6025">
        <w:rPr>
          <w:rFonts w:cs="Arial"/>
          <w:szCs w:val="28"/>
        </w:rPr>
        <w:t>ey señalen otra forma</w:t>
      </w:r>
      <w:r w:rsidR="00DC6025">
        <w:rPr>
          <w:rStyle w:val="Refdenotaalpie"/>
          <w:rFonts w:cs="Arial"/>
          <w:szCs w:val="28"/>
        </w:rPr>
        <w:footnoteReference w:id="24"/>
      </w:r>
      <w:r w:rsidR="00DC6025" w:rsidRPr="00DC6025">
        <w:rPr>
          <w:rFonts w:cs="Arial"/>
          <w:szCs w:val="28"/>
        </w:rPr>
        <w:t>.</w:t>
      </w:r>
    </w:p>
    <w:p w:rsidR="00142DAC" w:rsidRDefault="00142DAC" w:rsidP="00142DAC">
      <w:pPr>
        <w:rPr>
          <w:rFonts w:cs="Arial"/>
          <w:szCs w:val="28"/>
        </w:rPr>
      </w:pPr>
    </w:p>
    <w:p w:rsidR="00DC6025" w:rsidRPr="00DC6025" w:rsidRDefault="00762774" w:rsidP="00762774">
      <w:pPr>
        <w:rPr>
          <w:rFonts w:cs="Arial"/>
          <w:szCs w:val="28"/>
        </w:rPr>
      </w:pPr>
      <w:r>
        <w:rPr>
          <w:rFonts w:cs="Arial"/>
          <w:szCs w:val="28"/>
        </w:rPr>
        <w:t>Aunado a lo anterior, en la ley local es previsto que p</w:t>
      </w:r>
      <w:r w:rsidRPr="00DC6025">
        <w:rPr>
          <w:rFonts w:cs="Arial"/>
          <w:szCs w:val="28"/>
        </w:rPr>
        <w:t>odrán dispensarse todos o cualquiera de los trámi</w:t>
      </w:r>
      <w:r>
        <w:rPr>
          <w:rFonts w:cs="Arial"/>
          <w:szCs w:val="28"/>
        </w:rPr>
        <w:t xml:space="preserve">tes formales previstos en </w:t>
      </w:r>
      <w:r>
        <w:rPr>
          <w:rFonts w:cs="Arial"/>
          <w:szCs w:val="28"/>
        </w:rPr>
        <w:lastRenderedPageBreak/>
        <w:t>esta l</w:t>
      </w:r>
      <w:r w:rsidRPr="00DC6025">
        <w:rPr>
          <w:rFonts w:cs="Arial"/>
          <w:szCs w:val="28"/>
        </w:rPr>
        <w:t>ey</w:t>
      </w:r>
      <w:r>
        <w:rPr>
          <w:rStyle w:val="Refdenotaalpie"/>
          <w:rFonts w:cs="Arial"/>
          <w:szCs w:val="28"/>
        </w:rPr>
        <w:footnoteReference w:id="25"/>
      </w:r>
      <w:r>
        <w:rPr>
          <w:rFonts w:cs="Arial"/>
          <w:szCs w:val="28"/>
        </w:rPr>
        <w:t>, para lo cual es necesario</w:t>
      </w:r>
      <w:r w:rsidR="00DC6025" w:rsidRPr="00DC6025">
        <w:rPr>
          <w:rFonts w:cs="Arial"/>
          <w:szCs w:val="28"/>
        </w:rPr>
        <w:t xml:space="preserve"> proposición verbal o escrita en que se pida a la Cámara la dispensa </w:t>
      </w:r>
      <w:r>
        <w:rPr>
          <w:rFonts w:cs="Arial"/>
          <w:szCs w:val="28"/>
        </w:rPr>
        <w:t>en la que se expresen</w:t>
      </w:r>
      <w:r w:rsidR="00DC6025" w:rsidRPr="00DC6025">
        <w:rPr>
          <w:rFonts w:cs="Arial"/>
          <w:szCs w:val="28"/>
        </w:rPr>
        <w:t xml:space="preserve"> los trámites cuya dispensa se solicita</w:t>
      </w:r>
      <w:r>
        <w:rPr>
          <w:rStyle w:val="Refdenotaalpie"/>
          <w:rFonts w:cs="Arial"/>
          <w:szCs w:val="28"/>
        </w:rPr>
        <w:footnoteReference w:id="26"/>
      </w:r>
      <w:r w:rsidR="00DC6025" w:rsidRPr="00DC6025">
        <w:rPr>
          <w:rFonts w:cs="Arial"/>
          <w:szCs w:val="28"/>
        </w:rPr>
        <w:t>.</w:t>
      </w:r>
    </w:p>
    <w:p w:rsidR="00DC6025" w:rsidRPr="00DC6025" w:rsidRDefault="00DC6025" w:rsidP="00DC6025">
      <w:pPr>
        <w:rPr>
          <w:rFonts w:cs="Arial"/>
          <w:szCs w:val="28"/>
        </w:rPr>
      </w:pPr>
    </w:p>
    <w:p w:rsidR="00DC6025" w:rsidRPr="00DC6025" w:rsidRDefault="00762774" w:rsidP="00DC6025">
      <w:pPr>
        <w:rPr>
          <w:rFonts w:cs="Arial"/>
          <w:szCs w:val="28"/>
        </w:rPr>
      </w:pPr>
      <w:r>
        <w:rPr>
          <w:rFonts w:cs="Arial"/>
          <w:szCs w:val="28"/>
        </w:rPr>
        <w:t>Tal propuesta</w:t>
      </w:r>
      <w:r w:rsidR="00DC6025" w:rsidRPr="00DC6025">
        <w:rPr>
          <w:rFonts w:cs="Arial"/>
          <w:szCs w:val="28"/>
        </w:rPr>
        <w:t xml:space="preserve"> podrá </w:t>
      </w:r>
      <w:r>
        <w:rPr>
          <w:rFonts w:cs="Arial"/>
          <w:szCs w:val="28"/>
        </w:rPr>
        <w:t>ponerse</w:t>
      </w:r>
      <w:r w:rsidR="00DC6025" w:rsidRPr="00DC6025">
        <w:rPr>
          <w:rFonts w:cs="Arial"/>
          <w:szCs w:val="28"/>
        </w:rPr>
        <w:t xml:space="preserve"> a discusión, la que versa</w:t>
      </w:r>
      <w:r>
        <w:rPr>
          <w:rFonts w:cs="Arial"/>
          <w:szCs w:val="28"/>
        </w:rPr>
        <w:t>rá sobre la urgencia u obvia resolución de la l</w:t>
      </w:r>
      <w:r w:rsidR="00DC6025" w:rsidRPr="00DC6025">
        <w:rPr>
          <w:rFonts w:cs="Arial"/>
          <w:szCs w:val="28"/>
        </w:rPr>
        <w:t>ey</w:t>
      </w:r>
      <w:r>
        <w:rPr>
          <w:rFonts w:cs="Arial"/>
          <w:szCs w:val="28"/>
        </w:rPr>
        <w:t xml:space="preserve"> o d</w:t>
      </w:r>
      <w:r w:rsidR="00DC6025" w:rsidRPr="00DC6025">
        <w:rPr>
          <w:rFonts w:cs="Arial"/>
          <w:szCs w:val="28"/>
        </w:rPr>
        <w:t>ecreto de que</w:t>
      </w:r>
      <w:r>
        <w:rPr>
          <w:rFonts w:cs="Arial"/>
          <w:szCs w:val="28"/>
        </w:rPr>
        <w:t xml:space="preserve"> se trate, pudiendo hablar dos d</w:t>
      </w:r>
      <w:r w:rsidR="00DC6025" w:rsidRPr="00DC6025">
        <w:rPr>
          <w:rFonts w:cs="Arial"/>
          <w:szCs w:val="28"/>
        </w:rPr>
        <w:t>iputados en pro y dos en contra</w:t>
      </w:r>
      <w:r>
        <w:rPr>
          <w:rStyle w:val="Refdenotaalpie"/>
          <w:rFonts w:cs="Arial"/>
          <w:szCs w:val="28"/>
        </w:rPr>
        <w:footnoteReference w:id="27"/>
      </w:r>
      <w:r w:rsidR="00DC6025" w:rsidRPr="00DC6025">
        <w:rPr>
          <w:rFonts w:cs="Arial"/>
          <w:szCs w:val="28"/>
        </w:rPr>
        <w:t>.</w:t>
      </w:r>
    </w:p>
    <w:p w:rsidR="00762774" w:rsidRPr="00142DAC" w:rsidRDefault="00762774" w:rsidP="00142DAC">
      <w:pPr>
        <w:rPr>
          <w:rFonts w:cs="Arial"/>
          <w:szCs w:val="28"/>
        </w:rPr>
      </w:pPr>
    </w:p>
    <w:p w:rsidR="00910B1F" w:rsidRDefault="00DC6025" w:rsidP="000E713B">
      <w:r>
        <w:rPr>
          <w:rFonts w:cs="Arial"/>
          <w:szCs w:val="28"/>
        </w:rPr>
        <w:t>Ahora, en el caso en concreto, e</w:t>
      </w:r>
      <w:r w:rsidR="00225A0A">
        <w:rPr>
          <w:rFonts w:cs="Arial"/>
          <w:szCs w:val="28"/>
        </w:rPr>
        <w:t>l veintidós de mayo de dos mil veinte fue presentada una iniciativa de ley por parte de las Diputadas y Diputados Graciela Domínguez Nava, Mario Rafael González Sánchez, Edgar Augusto González Zatarain, Karla de Lourdes Montero Alatorre y Gloria Himelda Félix Niebla</w:t>
      </w:r>
      <w:r w:rsidR="00A14F63">
        <w:rPr>
          <w:rFonts w:cs="Arial"/>
          <w:szCs w:val="28"/>
        </w:rPr>
        <w:t xml:space="preserve"> para reformar los artículos 18, párrafo</w:t>
      </w:r>
      <w:r w:rsidR="00A14F63" w:rsidRPr="00A14F63">
        <w:rPr>
          <w:rFonts w:cs="Arial"/>
          <w:szCs w:val="28"/>
        </w:rPr>
        <w:t xml:space="preserve"> </w:t>
      </w:r>
      <w:r w:rsidR="00A14F63">
        <w:rPr>
          <w:rFonts w:cs="Arial"/>
          <w:szCs w:val="28"/>
        </w:rPr>
        <w:t xml:space="preserve">segundo; </w:t>
      </w:r>
      <w:r w:rsidR="00A14F63">
        <w:t>36, párrafos segundo y noveno; 80, párrafo segundo; 142, párrafo primero; 146, fracciones III y IV; 153 y 161; se adicionan un párrafo segundo al artículo 79; un párrafo tercero al 80, recorriendo los siguientes en el mismo orden; y una fracción XXIV Bis al 146; y se derogan los párrafos tercero, cuarto, quinto, sexto y décimo al artículo 36, todos de la Ley de Instituciones y Procedimientos Electorales del Estado de Sinaloa.</w:t>
      </w:r>
    </w:p>
    <w:p w:rsidR="00A14F63" w:rsidRDefault="00A14F63" w:rsidP="000E713B"/>
    <w:p w:rsidR="00762774" w:rsidRDefault="00762774" w:rsidP="000E713B">
      <w:r>
        <w:t xml:space="preserve">La primera lectura de la iniciativa sucedió el dos de junio de dos mil veinte; </w:t>
      </w:r>
      <w:r w:rsidR="001320CC">
        <w:t xml:space="preserve">sesión en </w:t>
      </w:r>
      <w:r w:rsidR="006C628D">
        <w:t>la que asistieron treinta y sie</w:t>
      </w:r>
      <w:r w:rsidR="001320CC">
        <w:t xml:space="preserve">te diputadas y diputados de los cuarenta que conforman el Congreso del Estado de Sinaloa. Asimismo, en esa </w:t>
      </w:r>
      <w:r>
        <w:t>sesión también fue dispensada su segunda lectura en atención a la solicitud de un diputado aprobada</w:t>
      </w:r>
      <w:r w:rsidR="001320CC">
        <w:t xml:space="preserve"> por unanimidad</w:t>
      </w:r>
      <w:r>
        <w:t xml:space="preserve"> por el Pleno del Congreso local,</w:t>
      </w:r>
      <w:r w:rsidR="00900876">
        <w:t xml:space="preserve"> en términos del artículo 145 de la Ley Orgánica del Congreso del Estado de Sinaloa,</w:t>
      </w:r>
      <w:r>
        <w:t xml:space="preserve"> por lo cual </w:t>
      </w:r>
      <w:r w:rsidR="00900876">
        <w:t xml:space="preserve">la iniciativa fue turnada a la Comisión de Puntos Constitucionales y Gobernación para la elaboración del dictamen correspondiente. </w:t>
      </w:r>
    </w:p>
    <w:p w:rsidR="00900876" w:rsidRDefault="00900876" w:rsidP="000E713B"/>
    <w:p w:rsidR="00900876" w:rsidRDefault="00900876" w:rsidP="000E713B">
      <w:r>
        <w:t>En la misma sesión del dos de junio de dos mil veinte, la Comisión de Puntos C</w:t>
      </w:r>
      <w:r w:rsidR="00C50548">
        <w:t xml:space="preserve">onstitucionales y </w:t>
      </w:r>
      <w:r>
        <w:t>Gobernación presentó dictamen favorable de la iniciativa en comento. Asimismo, un diputado solicitó la dispensa de su segunda lectura, lo cual fue aprobado</w:t>
      </w:r>
      <w:r w:rsidR="00AD3DC3">
        <w:t xml:space="preserve"> unánimemente</w:t>
      </w:r>
      <w:r>
        <w:t xml:space="preserve"> por el Pleno del Congreso local en términos del artículo 158 de la ley orgánica referida.</w:t>
      </w:r>
    </w:p>
    <w:p w:rsidR="00900876" w:rsidRDefault="00900876" w:rsidP="000E713B"/>
    <w:p w:rsidR="00AD3DC3" w:rsidRDefault="00AD3DC3" w:rsidP="000E713B">
      <w:r>
        <w:t xml:space="preserve">Precisado lo anterior, la Presidenta del Congreso local puso a discusión </w:t>
      </w:r>
      <w:r w:rsidRPr="00AD3DC3">
        <w:t>el dictamen en lo general</w:t>
      </w:r>
      <w:r>
        <w:t xml:space="preserve">. </w:t>
      </w:r>
      <w:r w:rsidRPr="00AD3DC3">
        <w:t>El diputado Jor</w:t>
      </w:r>
      <w:r>
        <w:t>ge  Iván  Villalobos  Seáñez se  anotó</w:t>
      </w:r>
      <w:r w:rsidRPr="00AD3DC3">
        <w:t xml:space="preserve"> par</w:t>
      </w:r>
      <w:r>
        <w:t>a hablar en contra del dictamen, mientras que e</w:t>
      </w:r>
      <w:r w:rsidRPr="00AD3DC3">
        <w:t>l</w:t>
      </w:r>
      <w:r w:rsidR="00C50548">
        <w:t xml:space="preserve">  diputado</w:t>
      </w:r>
      <w:r>
        <w:t xml:space="preserve"> Horacio  Lora Oliva</w:t>
      </w:r>
      <w:r w:rsidRPr="00AD3DC3">
        <w:t xml:space="preserve">  se  anotó  para  hablar  a favor del dictamen.</w:t>
      </w:r>
    </w:p>
    <w:p w:rsidR="00AD3DC3" w:rsidRDefault="00AD3DC3" w:rsidP="000E713B"/>
    <w:p w:rsidR="00AD3DC3" w:rsidRDefault="00AD3DC3" w:rsidP="000E713B">
      <w:r w:rsidRPr="00AD3DC3">
        <w:t xml:space="preserve">La  Presidenta  </w:t>
      </w:r>
      <w:r>
        <w:t>otorgó</w:t>
      </w:r>
      <w:r w:rsidRPr="00AD3DC3">
        <w:t xml:space="preserve">  el  uso  de  la  palabra  al d</w:t>
      </w:r>
      <w:r w:rsidR="00C50548">
        <w:t>iputado Jorge  Iván Villalobos</w:t>
      </w:r>
      <w:r w:rsidRPr="00AD3DC3">
        <w:t xml:space="preserve"> Seáñez</w:t>
      </w:r>
      <w:r w:rsidR="00C50548">
        <w:t xml:space="preserve">, </w:t>
      </w:r>
      <w:r>
        <w:t xml:space="preserve">quien expresó las razones del Grupo Parlamentario del Partido Acción Nacional para estar en contra de la propuesta de modificar la fecha en que será convocado a elecciones. </w:t>
      </w:r>
    </w:p>
    <w:p w:rsidR="00AD3DC3" w:rsidRDefault="00AD3DC3" w:rsidP="000E713B"/>
    <w:p w:rsidR="00AD3DC3" w:rsidRDefault="00AD3DC3" w:rsidP="000E713B">
      <w:r>
        <w:t>Posteriormente, l</w:t>
      </w:r>
      <w:r w:rsidRPr="00AD3DC3">
        <w:t>a  Presidenta  concedió  el  uso  de  la  palabra  al diputado Horacio Lora Oliva</w:t>
      </w:r>
      <w:r>
        <w:t xml:space="preserve"> </w:t>
      </w:r>
      <w:r w:rsidRPr="00AD3DC3">
        <w:t>para</w:t>
      </w:r>
      <w:r>
        <w:t xml:space="preserve"> </w:t>
      </w:r>
      <w:r w:rsidRPr="00AD3DC3">
        <w:t>hablar a favor del dictamen</w:t>
      </w:r>
      <w:r>
        <w:t xml:space="preserve">, el cual expresó las razones del Grupo Parlamentario del Partido Político Movimiento de Regeneración Nacional para estar a favor de la propuesta de modificar la fecha para convocar a elecciones. </w:t>
      </w:r>
    </w:p>
    <w:p w:rsidR="00AD3DC3" w:rsidRDefault="00AD3DC3" w:rsidP="000E713B"/>
    <w:p w:rsidR="00AD3DC3" w:rsidRDefault="00AD3DC3" w:rsidP="000E713B">
      <w:r>
        <w:t>Después de ello, la Presidenta c</w:t>
      </w:r>
      <w:r w:rsidRPr="00AD3DC3">
        <w:t>oncedió</w:t>
      </w:r>
      <w:r>
        <w:t xml:space="preserve"> nuevamente</w:t>
      </w:r>
      <w:r w:rsidR="00C50548">
        <w:t xml:space="preserve"> el uso de la</w:t>
      </w:r>
      <w:r>
        <w:t xml:space="preserve"> palabra</w:t>
      </w:r>
      <w:r w:rsidRPr="00AD3DC3">
        <w:t xml:space="preserve"> al diputado </w:t>
      </w:r>
      <w:r w:rsidR="00C50548">
        <w:t>Jorge Iván Villalobos Seáñez del Grupo Parlamentario del Partido Acción Nacional por</w:t>
      </w:r>
      <w:r w:rsidRPr="00AD3DC3">
        <w:t xml:space="preserve"> alusione</w:t>
      </w:r>
      <w:r w:rsidR="00C50548">
        <w:t>s.</w:t>
      </w:r>
    </w:p>
    <w:p w:rsidR="00C50548" w:rsidRDefault="00C50548" w:rsidP="000E713B"/>
    <w:p w:rsidR="00C50548" w:rsidRDefault="00C50548" w:rsidP="00C50548">
      <w:r>
        <w:t>Finalizada la intervención por alusiones, l</w:t>
      </w:r>
      <w:r w:rsidRPr="00C50548">
        <w:t>a Presidenta con</w:t>
      </w:r>
      <w:r>
        <w:t xml:space="preserve">cedió el uso de la palabra a la diputada Graciela Domínguez Nava </w:t>
      </w:r>
      <w:r w:rsidRPr="00C50548">
        <w:t>para</w:t>
      </w:r>
      <w:r>
        <w:t xml:space="preserve"> </w:t>
      </w:r>
      <w:r w:rsidRPr="00C50548">
        <w:t>hablar a  favor del dictamen,</w:t>
      </w:r>
      <w:r>
        <w:t xml:space="preserve"> la cual expuso sus razones para estar con la propuesta de reforma.</w:t>
      </w:r>
    </w:p>
    <w:p w:rsidR="00C50548" w:rsidRDefault="00C50548" w:rsidP="00C50548"/>
    <w:p w:rsidR="00C50548" w:rsidRDefault="00C50548" w:rsidP="00C50548">
      <w:r>
        <w:t xml:space="preserve">De nueva cuenta, la </w:t>
      </w:r>
      <w:r w:rsidRPr="00C50548">
        <w:t xml:space="preserve">Presidenta  concedió  el  uso  de  la  palabra  al diputado </w:t>
      </w:r>
      <w:r>
        <w:t>Jorge Iván Villalobos Seáñez para</w:t>
      </w:r>
      <w:r w:rsidRPr="00C50548">
        <w:t xml:space="preserve"> aclaraciones</w:t>
      </w:r>
      <w:r>
        <w:t>.</w:t>
      </w:r>
    </w:p>
    <w:p w:rsidR="00C50548" w:rsidRDefault="00C50548" w:rsidP="00C50548"/>
    <w:p w:rsidR="00C50548" w:rsidRDefault="00C50548" w:rsidP="00C50548">
      <w:r>
        <w:lastRenderedPageBreak/>
        <w:t xml:space="preserve">Concluida esta última intervención, la </w:t>
      </w:r>
      <w:r w:rsidRPr="00C50548">
        <w:t>Presidenta</w:t>
      </w:r>
      <w:r>
        <w:t xml:space="preserve"> preguntó</w:t>
      </w:r>
      <w:r w:rsidRPr="00C50548">
        <w:t xml:space="preserve"> al Pleno si se admite una segunda ronda de</w:t>
      </w:r>
      <w:r>
        <w:t xml:space="preserve"> </w:t>
      </w:r>
      <w:r w:rsidRPr="00C50548">
        <w:t>oradores</w:t>
      </w:r>
      <w:r>
        <w:t xml:space="preserve">. </w:t>
      </w:r>
      <w:r w:rsidRPr="00C50548">
        <w:t>La</w:t>
      </w:r>
      <w:r>
        <w:t xml:space="preserve"> votación fue de manera </w:t>
      </w:r>
      <w:r w:rsidRPr="00C50548">
        <w:t>económica</w:t>
      </w:r>
      <w:r>
        <w:t xml:space="preserve"> y la mayoría votó por la negativa.</w:t>
      </w:r>
    </w:p>
    <w:p w:rsidR="00C50548" w:rsidRDefault="00C50548" w:rsidP="00C50548"/>
    <w:p w:rsidR="00C50548" w:rsidRDefault="00C50548" w:rsidP="00C50548">
      <w:r>
        <w:t xml:space="preserve">Posteriormente, la Presidenta preguntó si el asunto se considera suficientemente discutido. La </w:t>
      </w:r>
      <w:r w:rsidR="00CE6D7D">
        <w:t>votación fue</w:t>
      </w:r>
      <w:r>
        <w:t xml:space="preserve"> de manera económica</w:t>
      </w:r>
      <w:r w:rsidR="00CE6D7D">
        <w:t xml:space="preserve"> y unánime</w:t>
      </w:r>
      <w:r>
        <w:t xml:space="preserve"> por la afirmativa</w:t>
      </w:r>
      <w:r w:rsidR="00CE6D7D">
        <w:t>.</w:t>
      </w:r>
    </w:p>
    <w:p w:rsidR="00C50548" w:rsidRDefault="00C50548" w:rsidP="000E713B"/>
    <w:p w:rsidR="00900876" w:rsidRDefault="00CE6D7D" w:rsidP="000E713B">
      <w:r>
        <w:t>Puesto a votación en lo general el dictamen, fue aprobado por treinta y cuatro votos a favor y tres en contra</w:t>
      </w:r>
      <w:r w:rsidR="008800CD">
        <w:t xml:space="preserve"> del diputado Jorge Iván Villalobos Seáñez y las diputadas Roxana Rubio Valdez y Karla de Lourdes Montero Alatorre</w:t>
      </w:r>
      <w:r>
        <w:t xml:space="preserve">. Después, la Presidenta puso a discusión el dictamen en lo particular sin que alguna diputada o diputado se anotara para tal fin, por lo que aquella tuvo por aprobado el dictamen, en términos del artículo 168 de la Ley Orgánica del Congreso del Estado de Sinaloa. </w:t>
      </w:r>
    </w:p>
    <w:p w:rsidR="00A14F63" w:rsidRDefault="00A14F63" w:rsidP="000E713B">
      <w:pPr>
        <w:rPr>
          <w:rFonts w:cs="Arial"/>
          <w:szCs w:val="28"/>
        </w:rPr>
      </w:pPr>
    </w:p>
    <w:p w:rsidR="00CE6D7D" w:rsidRDefault="00CE6D7D" w:rsidP="00E05C8B">
      <w:pPr>
        <w:rPr>
          <w:rFonts w:cs="Arial"/>
          <w:szCs w:val="28"/>
        </w:rPr>
      </w:pPr>
      <w:r>
        <w:rPr>
          <w:rFonts w:cs="Arial"/>
          <w:szCs w:val="28"/>
        </w:rPr>
        <w:t>Con base en los hechos narrados, este Tribunal Pleno considera que en el caso no hubo violaciones a las reglas del procedimiento legislativo con</w:t>
      </w:r>
      <w:r w:rsidRPr="00526011">
        <w:rPr>
          <w:rFonts w:cs="Arial"/>
          <w:szCs w:val="28"/>
        </w:rPr>
        <w:t xml:space="preserve"> relevancia </w:t>
      </w:r>
      <w:r>
        <w:rPr>
          <w:rFonts w:cs="Arial"/>
          <w:szCs w:val="28"/>
        </w:rPr>
        <w:t xml:space="preserve">invalidante en tal grado que trastoquen </w:t>
      </w:r>
      <w:r w:rsidRPr="00526011">
        <w:rPr>
          <w:rFonts w:cs="Arial"/>
          <w:szCs w:val="28"/>
        </w:rPr>
        <w:t>los atributos democráticos de la decisión</w:t>
      </w:r>
      <w:r w:rsidR="00E05C8B">
        <w:rPr>
          <w:rFonts w:cs="Arial"/>
          <w:szCs w:val="28"/>
        </w:rPr>
        <w:t xml:space="preserve"> tomada por el Congreso del Estado de Sinaloa.</w:t>
      </w:r>
    </w:p>
    <w:p w:rsidR="00E05C8B" w:rsidRDefault="00E05C8B" w:rsidP="00E05C8B">
      <w:pPr>
        <w:rPr>
          <w:rFonts w:cs="Arial"/>
          <w:szCs w:val="28"/>
        </w:rPr>
      </w:pPr>
    </w:p>
    <w:p w:rsidR="00E05C8B" w:rsidRPr="00526011" w:rsidRDefault="00E05C8B" w:rsidP="00E05C8B">
      <w:pPr>
        <w:rPr>
          <w:rFonts w:cs="Arial"/>
          <w:szCs w:val="28"/>
        </w:rPr>
      </w:pPr>
      <w:r>
        <w:rPr>
          <w:rFonts w:cs="Arial"/>
          <w:szCs w:val="28"/>
        </w:rPr>
        <w:t>Como fue precisado, el criterio de este Tribunal Pleno se concreta en la revisión de tres estándares:</w:t>
      </w:r>
    </w:p>
    <w:p w:rsidR="00CE6D7D" w:rsidRPr="00526011" w:rsidRDefault="00CE6D7D" w:rsidP="00CE6D7D">
      <w:pPr>
        <w:rPr>
          <w:rFonts w:cs="Arial"/>
          <w:szCs w:val="28"/>
        </w:rPr>
      </w:pPr>
    </w:p>
    <w:p w:rsidR="00CE6D7D" w:rsidRPr="00526011" w:rsidRDefault="00654E15" w:rsidP="00CE6D7D">
      <w:pPr>
        <w:rPr>
          <w:rFonts w:cs="Arial"/>
          <w:szCs w:val="28"/>
        </w:rPr>
      </w:pPr>
      <w:r>
        <w:rPr>
          <w:rFonts w:cs="Arial"/>
          <w:szCs w:val="28"/>
        </w:rPr>
        <w:t>a</w:t>
      </w:r>
      <w:r w:rsidR="00CE6D7D" w:rsidRPr="00526011">
        <w:rPr>
          <w:rFonts w:cs="Arial"/>
          <w:szCs w:val="28"/>
        </w:rPr>
        <w:t xml:space="preserve">. El procedimiento legislativo debe respetar el derecho a la participación de todas las fuerzas políticas con representación parlamentaria en condiciones de libertad e igualdad. En otras palabras, es necesario que se respeten los cauces que permitan a las mayorías </w:t>
      </w:r>
      <w:r w:rsidR="00CE6D7D">
        <w:rPr>
          <w:rFonts w:cs="Arial"/>
          <w:szCs w:val="28"/>
        </w:rPr>
        <w:t>y a las minorías parlamentarias</w:t>
      </w:r>
      <w:r w:rsidR="00CE6D7D" w:rsidRPr="00526011">
        <w:rPr>
          <w:rFonts w:cs="Arial"/>
          <w:szCs w:val="28"/>
        </w:rPr>
        <w:t xml:space="preserve"> expresar y defender su opinión en un contexto de deliberación pública, lo cual otorga relevancia a las reglas de integración y quórum en el seno de las Cámaras, así como a las que regulan el obj</w:t>
      </w:r>
      <w:r w:rsidR="00CE6D7D">
        <w:rPr>
          <w:rFonts w:cs="Arial"/>
          <w:szCs w:val="28"/>
        </w:rPr>
        <w:t>eto y desarrollo de los debates.</w:t>
      </w:r>
    </w:p>
    <w:p w:rsidR="00CE6D7D" w:rsidRPr="00526011" w:rsidRDefault="00CE6D7D" w:rsidP="00CE6D7D">
      <w:pPr>
        <w:rPr>
          <w:rFonts w:cs="Arial"/>
          <w:szCs w:val="28"/>
        </w:rPr>
      </w:pPr>
    </w:p>
    <w:p w:rsidR="00CE6D7D" w:rsidRPr="00526011" w:rsidRDefault="00654E15" w:rsidP="00CE6D7D">
      <w:pPr>
        <w:rPr>
          <w:rFonts w:cs="Arial"/>
          <w:szCs w:val="28"/>
        </w:rPr>
      </w:pPr>
      <w:r>
        <w:rPr>
          <w:rFonts w:cs="Arial"/>
          <w:szCs w:val="28"/>
        </w:rPr>
        <w:lastRenderedPageBreak/>
        <w:t>b</w:t>
      </w:r>
      <w:r w:rsidR="00CE6D7D" w:rsidRPr="00526011">
        <w:rPr>
          <w:rFonts w:cs="Arial"/>
          <w:szCs w:val="28"/>
        </w:rPr>
        <w:t xml:space="preserve">. El procedimiento deliberativo debe culminar con la aplicación </w:t>
      </w:r>
      <w:r w:rsidR="00E05C8B" w:rsidRPr="00526011">
        <w:rPr>
          <w:rFonts w:cs="Arial"/>
          <w:szCs w:val="28"/>
        </w:rPr>
        <w:t xml:space="preserve">correcta </w:t>
      </w:r>
      <w:r w:rsidR="00CE6D7D" w:rsidRPr="00526011">
        <w:rPr>
          <w:rFonts w:cs="Arial"/>
          <w:szCs w:val="28"/>
        </w:rPr>
        <w:t xml:space="preserve">de las </w:t>
      </w:r>
      <w:r w:rsidR="00CE6D7D">
        <w:rPr>
          <w:rFonts w:cs="Arial"/>
          <w:szCs w:val="28"/>
        </w:rPr>
        <w:t>reglas de votación establecidas.</w:t>
      </w:r>
    </w:p>
    <w:p w:rsidR="00CE6D7D" w:rsidRPr="00526011" w:rsidRDefault="00CE6D7D" w:rsidP="00CE6D7D">
      <w:pPr>
        <w:rPr>
          <w:rFonts w:cs="Arial"/>
          <w:szCs w:val="28"/>
        </w:rPr>
      </w:pPr>
    </w:p>
    <w:p w:rsidR="00CE6D7D" w:rsidRPr="00526011" w:rsidRDefault="00654E15" w:rsidP="00CE6D7D">
      <w:pPr>
        <w:rPr>
          <w:rFonts w:cs="Arial"/>
          <w:szCs w:val="28"/>
        </w:rPr>
      </w:pPr>
      <w:r>
        <w:rPr>
          <w:rFonts w:cs="Arial"/>
          <w:szCs w:val="28"/>
        </w:rPr>
        <w:t>c</w:t>
      </w:r>
      <w:r w:rsidR="00CE6D7D" w:rsidRPr="00526011">
        <w:rPr>
          <w:rFonts w:cs="Arial"/>
          <w:szCs w:val="28"/>
        </w:rPr>
        <w:t xml:space="preserve">. Tanto la deliberación parlamentaria como las votaciones deben ser públicas. </w:t>
      </w:r>
    </w:p>
    <w:p w:rsidR="00DC6025" w:rsidRDefault="00CE6D7D" w:rsidP="000E713B">
      <w:pPr>
        <w:rPr>
          <w:rFonts w:cs="Arial"/>
          <w:szCs w:val="28"/>
        </w:rPr>
      </w:pPr>
      <w:r>
        <w:rPr>
          <w:rFonts w:cs="Arial"/>
          <w:szCs w:val="28"/>
        </w:rPr>
        <w:t xml:space="preserve"> </w:t>
      </w:r>
    </w:p>
    <w:p w:rsidR="00E05C8B" w:rsidRDefault="00E05C8B" w:rsidP="000E713B">
      <w:pPr>
        <w:rPr>
          <w:rFonts w:cs="Arial"/>
          <w:szCs w:val="28"/>
        </w:rPr>
      </w:pPr>
      <w:r>
        <w:rPr>
          <w:rFonts w:cs="Arial"/>
          <w:szCs w:val="28"/>
        </w:rPr>
        <w:t xml:space="preserve">En el caso los tres estándares fueron cumplidos por el Pleno del Congreso del Estado del Estado de Sinaloa, pues fue respetado el derecho a participar en la discusión y toma de decisión de todas las fuerzas políticas con representación parlamentaria </w:t>
      </w:r>
      <w:r w:rsidRPr="00526011">
        <w:rPr>
          <w:rFonts w:cs="Arial"/>
          <w:szCs w:val="28"/>
        </w:rPr>
        <w:t>en condiciones de libertad e igualdad</w:t>
      </w:r>
      <w:r>
        <w:rPr>
          <w:rFonts w:cs="Arial"/>
          <w:szCs w:val="28"/>
        </w:rPr>
        <w:t xml:space="preserve">, ya que libremente pudieron expresar en la tribuna su posición respecto de la reforma planteada con apego a las reglas que para el debate parlamentario están previstas en la Ley Orgánica del Congreso del Estado de Sinaloa. </w:t>
      </w:r>
    </w:p>
    <w:p w:rsidR="00E05C8B" w:rsidRDefault="00E05C8B" w:rsidP="000E713B">
      <w:pPr>
        <w:rPr>
          <w:rFonts w:cs="Arial"/>
          <w:szCs w:val="28"/>
        </w:rPr>
      </w:pPr>
    </w:p>
    <w:p w:rsidR="00E05C8B" w:rsidRDefault="00E05C8B" w:rsidP="000E713B">
      <w:pPr>
        <w:rPr>
          <w:rFonts w:cs="Arial"/>
          <w:szCs w:val="28"/>
        </w:rPr>
      </w:pPr>
      <w:r>
        <w:rPr>
          <w:rFonts w:cs="Arial"/>
          <w:szCs w:val="28"/>
        </w:rPr>
        <w:t>Asimismo, el procedimiento deliberativo culminó con la aplicación correcta de las reglas de votación en tanto que</w:t>
      </w:r>
      <w:r w:rsidR="008800CD">
        <w:rPr>
          <w:rFonts w:cs="Arial"/>
          <w:szCs w:val="28"/>
        </w:rPr>
        <w:t xml:space="preserve"> la dispensa de los trámites fue realizada por votación económica y la aprobación del decreto</w:t>
      </w:r>
      <w:r>
        <w:rPr>
          <w:rFonts w:cs="Arial"/>
          <w:szCs w:val="28"/>
        </w:rPr>
        <w:t xml:space="preserve"> </w:t>
      </w:r>
      <w:r w:rsidR="008800CD">
        <w:rPr>
          <w:rFonts w:cs="Arial"/>
          <w:szCs w:val="28"/>
        </w:rPr>
        <w:t>fue realizada por votación nominal en una sesión pública.</w:t>
      </w:r>
    </w:p>
    <w:p w:rsidR="00DC6025" w:rsidRDefault="00DC6025" w:rsidP="000E713B">
      <w:pPr>
        <w:rPr>
          <w:rFonts w:cs="Arial"/>
          <w:szCs w:val="28"/>
        </w:rPr>
      </w:pPr>
    </w:p>
    <w:p w:rsidR="00DC6025" w:rsidRDefault="00EA3B6E" w:rsidP="000917F9">
      <w:pPr>
        <w:rPr>
          <w:rFonts w:cs="Arial"/>
          <w:szCs w:val="28"/>
        </w:rPr>
      </w:pPr>
      <w:r>
        <w:rPr>
          <w:rFonts w:cs="Arial"/>
          <w:szCs w:val="28"/>
        </w:rPr>
        <w:t>No pasa inadvertido a este Tribunal Pleno lo argumentado por el partido demandante en el sentido de que</w:t>
      </w:r>
      <w:r w:rsidR="000917F9">
        <w:rPr>
          <w:rFonts w:cs="Arial"/>
          <w:szCs w:val="28"/>
        </w:rPr>
        <w:t xml:space="preserve"> el procedimiento legislativo fue una simulación</w:t>
      </w:r>
      <w:r>
        <w:rPr>
          <w:rFonts w:cs="Arial"/>
          <w:szCs w:val="28"/>
        </w:rPr>
        <w:t xml:space="preserve"> </w:t>
      </w:r>
      <w:r w:rsidR="000917F9" w:rsidRPr="00611D8B">
        <w:rPr>
          <w:rFonts w:cs="Arial"/>
          <w:szCs w:val="28"/>
        </w:rPr>
        <w:t xml:space="preserve">debido </w:t>
      </w:r>
      <w:r w:rsidR="000917F9">
        <w:rPr>
          <w:rFonts w:cs="Arial"/>
          <w:szCs w:val="28"/>
        </w:rPr>
        <w:t>a que en la</w:t>
      </w:r>
      <w:r w:rsidR="000917F9" w:rsidRPr="00611D8B">
        <w:rPr>
          <w:rFonts w:cs="Arial"/>
          <w:szCs w:val="28"/>
        </w:rPr>
        <w:t xml:space="preserve"> misma sesión </w:t>
      </w:r>
      <w:r w:rsidR="000917F9">
        <w:rPr>
          <w:rFonts w:cs="Arial"/>
          <w:szCs w:val="28"/>
        </w:rPr>
        <w:t xml:space="preserve">se llevó a cabo la </w:t>
      </w:r>
      <w:r w:rsidR="000917F9" w:rsidRPr="00611D8B">
        <w:rPr>
          <w:rFonts w:cs="Arial"/>
          <w:szCs w:val="28"/>
        </w:rPr>
        <w:t>primera lectura</w:t>
      </w:r>
      <w:r w:rsidR="000917F9">
        <w:rPr>
          <w:rFonts w:cs="Arial"/>
          <w:szCs w:val="28"/>
        </w:rPr>
        <w:t xml:space="preserve"> de la iniciativa de reformas, fue turnada a las </w:t>
      </w:r>
      <w:r w:rsidR="000917F9" w:rsidRPr="00611D8B">
        <w:rPr>
          <w:rFonts w:cs="Arial"/>
          <w:szCs w:val="28"/>
        </w:rPr>
        <w:t xml:space="preserve">comisiones </w:t>
      </w:r>
      <w:r w:rsidR="000917F9">
        <w:rPr>
          <w:rFonts w:cs="Arial"/>
          <w:szCs w:val="28"/>
        </w:rPr>
        <w:t xml:space="preserve">dictaminadoras, presentado por ellas el </w:t>
      </w:r>
      <w:r w:rsidR="000917F9" w:rsidRPr="00611D8B">
        <w:rPr>
          <w:rFonts w:cs="Arial"/>
          <w:szCs w:val="28"/>
        </w:rPr>
        <w:t>dictamen respectivo</w:t>
      </w:r>
      <w:r w:rsidR="000917F9">
        <w:rPr>
          <w:rFonts w:cs="Arial"/>
          <w:szCs w:val="28"/>
        </w:rPr>
        <w:t xml:space="preserve"> y aprobadas las reformas a la Ley de Instituciones y Procedimientos Electorales del Estado de Sinaloa. </w:t>
      </w:r>
    </w:p>
    <w:p w:rsidR="000917F9" w:rsidRDefault="000917F9" w:rsidP="000E713B">
      <w:pPr>
        <w:rPr>
          <w:rFonts w:cs="Arial"/>
          <w:szCs w:val="28"/>
        </w:rPr>
      </w:pPr>
    </w:p>
    <w:p w:rsidR="00DC6025" w:rsidRDefault="000917F9" w:rsidP="000E713B">
      <w:pPr>
        <w:rPr>
          <w:rFonts w:cs="Arial"/>
          <w:szCs w:val="28"/>
        </w:rPr>
      </w:pPr>
      <w:r>
        <w:rPr>
          <w:rFonts w:cs="Arial"/>
          <w:szCs w:val="28"/>
        </w:rPr>
        <w:t xml:space="preserve">Sin embargo, a juicio de este Tribunal Pleno, si bien en tal forma de actuar puede considerarse que hubo transgresiones a las reglas del procedimiento, en específico a lo establecido en el artículo 164 de la Ley Orgánica del Congreso del Estado de Sinaloa respecto a que no podrá discutirse dictamen alguno sin que previamente se haya repartido a los diputados, disposición que implica cierta temporalidad razonable para el estudio del dictamen y la propuesta de reforma, en el caso tal trasgresión no impactó en la calidad del debate parlamentario, dado que las fuerzas políticas pudieron expresar </w:t>
      </w:r>
      <w:r>
        <w:rPr>
          <w:rFonts w:cs="Arial"/>
          <w:szCs w:val="28"/>
        </w:rPr>
        <w:lastRenderedPageBreak/>
        <w:t>libremente su posición respecto de la reforma e incluso se opusieron a su aprobación.</w:t>
      </w:r>
    </w:p>
    <w:p w:rsidR="0030123A" w:rsidRDefault="0030123A" w:rsidP="000E713B">
      <w:pPr>
        <w:rPr>
          <w:rFonts w:cs="Arial"/>
          <w:szCs w:val="28"/>
        </w:rPr>
      </w:pPr>
    </w:p>
    <w:p w:rsidR="0030123A" w:rsidRDefault="0030123A" w:rsidP="000E713B">
      <w:pPr>
        <w:rPr>
          <w:rFonts w:cs="Arial"/>
          <w:szCs w:val="28"/>
        </w:rPr>
      </w:pPr>
      <w:r>
        <w:rPr>
          <w:rFonts w:cs="Arial"/>
          <w:szCs w:val="28"/>
        </w:rPr>
        <w:t xml:space="preserve">Por lo tanto, son infundados los argumentos del partido demandante en el sentido de que en la emisión del decreto impugnado hubo transgresiones a las reglas del procedimiento legislativo con carácter invalidante </w:t>
      </w:r>
      <w:r w:rsidR="00AC4C74">
        <w:rPr>
          <w:rFonts w:cs="Arial"/>
          <w:szCs w:val="28"/>
        </w:rPr>
        <w:t>con base en las cuales debe declararse su invalidez.</w:t>
      </w:r>
    </w:p>
    <w:p w:rsidR="000917F9" w:rsidRDefault="000917F9" w:rsidP="00654E15">
      <w:pPr>
        <w:rPr>
          <w:rFonts w:cs="Arial"/>
          <w:szCs w:val="28"/>
        </w:rPr>
      </w:pPr>
    </w:p>
    <w:p w:rsidR="000E713B" w:rsidRPr="00500326" w:rsidRDefault="00654E15" w:rsidP="00654E15">
      <w:pPr>
        <w:pStyle w:val="Ttulo4"/>
      </w:pPr>
      <w:r>
        <w:t>2</w:t>
      </w:r>
      <w:r w:rsidR="000E713B" w:rsidRPr="00500326">
        <w:t>. La consulta a los pueblos y comuni</w:t>
      </w:r>
      <w:r w:rsidR="00500326">
        <w:t xml:space="preserve">dades indígenas y </w:t>
      </w:r>
      <w:r w:rsidR="00500326" w:rsidRPr="00500326">
        <w:t>afromexicanas</w:t>
      </w:r>
    </w:p>
    <w:p w:rsidR="000E713B" w:rsidRPr="000E713B" w:rsidRDefault="000E713B" w:rsidP="00654E15">
      <w:pPr>
        <w:rPr>
          <w:rFonts w:cs="Arial"/>
          <w:szCs w:val="28"/>
        </w:rPr>
      </w:pPr>
    </w:p>
    <w:p w:rsidR="00F457DF" w:rsidRDefault="00F64F51" w:rsidP="000E713B">
      <w:pPr>
        <w:rPr>
          <w:rFonts w:cs="Arial"/>
          <w:szCs w:val="28"/>
        </w:rPr>
      </w:pPr>
      <w:r>
        <w:rPr>
          <w:rFonts w:cs="Arial"/>
          <w:szCs w:val="28"/>
        </w:rPr>
        <w:t xml:space="preserve">Según </w:t>
      </w:r>
      <w:r w:rsidR="002A1E80">
        <w:rPr>
          <w:rFonts w:cs="Arial"/>
          <w:szCs w:val="28"/>
        </w:rPr>
        <w:t xml:space="preserve">se </w:t>
      </w:r>
      <w:r w:rsidR="00B4491C">
        <w:rPr>
          <w:rFonts w:cs="Arial"/>
          <w:szCs w:val="28"/>
        </w:rPr>
        <w:t>ha</w:t>
      </w:r>
      <w:r>
        <w:rPr>
          <w:rFonts w:cs="Arial"/>
          <w:szCs w:val="28"/>
        </w:rPr>
        <w:t xml:space="preserve"> sostenido </w:t>
      </w:r>
      <w:r w:rsidR="000E713B" w:rsidRPr="000E713B">
        <w:rPr>
          <w:rFonts w:cs="Arial"/>
          <w:szCs w:val="28"/>
        </w:rPr>
        <w:t xml:space="preserve">por este Tribunal Pleno </w:t>
      </w:r>
      <w:r>
        <w:rPr>
          <w:rFonts w:cs="Arial"/>
          <w:szCs w:val="28"/>
        </w:rPr>
        <w:t>en varios precedentes</w:t>
      </w:r>
      <w:r>
        <w:rPr>
          <w:rStyle w:val="Refdenotaalpie"/>
          <w:rFonts w:cs="Arial"/>
          <w:szCs w:val="28"/>
        </w:rPr>
        <w:footnoteReference w:id="28"/>
      </w:r>
      <w:r>
        <w:rPr>
          <w:rFonts w:cs="Arial"/>
          <w:szCs w:val="28"/>
        </w:rPr>
        <w:t xml:space="preserve">, </w:t>
      </w:r>
      <w:r w:rsidR="000E713B" w:rsidRPr="000E713B">
        <w:rPr>
          <w:rFonts w:cs="Arial"/>
          <w:szCs w:val="28"/>
        </w:rPr>
        <w:t>los pueblos y comunidades indígenas y afromexicanas del país tienen derecho a ser consult</w:t>
      </w:r>
      <w:r>
        <w:rPr>
          <w:rFonts w:cs="Arial"/>
          <w:szCs w:val="28"/>
        </w:rPr>
        <w:t>ados en forma previa, informada y</w:t>
      </w:r>
      <w:r w:rsidR="000E713B" w:rsidRPr="000E713B">
        <w:rPr>
          <w:rFonts w:cs="Arial"/>
          <w:szCs w:val="28"/>
        </w:rPr>
        <w:t xml:space="preserve"> culturalmente adecuada</w:t>
      </w:r>
      <w:r w:rsidR="00F457DF">
        <w:rPr>
          <w:rFonts w:cs="Arial"/>
          <w:szCs w:val="28"/>
        </w:rPr>
        <w:t>,</w:t>
      </w:r>
      <w:r w:rsidR="000E713B" w:rsidRPr="000E713B">
        <w:rPr>
          <w:rFonts w:cs="Arial"/>
          <w:szCs w:val="28"/>
        </w:rPr>
        <w:t xml:space="preserve"> </w:t>
      </w:r>
      <w:r>
        <w:rPr>
          <w:rFonts w:cs="Arial"/>
          <w:szCs w:val="28"/>
        </w:rPr>
        <w:t>mediante</w:t>
      </w:r>
      <w:r w:rsidR="000E713B" w:rsidRPr="000E713B">
        <w:rPr>
          <w:rFonts w:cs="Arial"/>
          <w:szCs w:val="28"/>
        </w:rPr>
        <w:t xml:space="preserve"> sus representantes o autoridades tradici</w:t>
      </w:r>
      <w:r w:rsidR="00F457DF">
        <w:rPr>
          <w:rFonts w:cs="Arial"/>
          <w:szCs w:val="28"/>
        </w:rPr>
        <w:t>onales, informada y de buena fe</w:t>
      </w:r>
      <w:r w:rsidR="000E713B" w:rsidRPr="000E713B">
        <w:rPr>
          <w:rFonts w:cs="Arial"/>
          <w:szCs w:val="28"/>
        </w:rPr>
        <w:t xml:space="preserve"> cuando las autoridades legislativas </w:t>
      </w:r>
      <w:r w:rsidR="009504EB">
        <w:rPr>
          <w:rFonts w:cs="Arial"/>
          <w:szCs w:val="28"/>
        </w:rPr>
        <w:t>vayan</w:t>
      </w:r>
      <w:r w:rsidR="000E713B" w:rsidRPr="000E713B">
        <w:rPr>
          <w:rFonts w:cs="Arial"/>
          <w:szCs w:val="28"/>
        </w:rPr>
        <w:t xml:space="preserve"> </w:t>
      </w:r>
      <w:r w:rsidR="009504EB">
        <w:rPr>
          <w:rFonts w:cs="Arial"/>
          <w:szCs w:val="28"/>
        </w:rPr>
        <w:t xml:space="preserve">a </w:t>
      </w:r>
      <w:r w:rsidR="000E713B" w:rsidRPr="000E713B">
        <w:rPr>
          <w:rFonts w:cs="Arial"/>
          <w:szCs w:val="28"/>
        </w:rPr>
        <w:t xml:space="preserve">emitir una </w:t>
      </w:r>
      <w:r w:rsidR="00F457DF">
        <w:rPr>
          <w:rFonts w:cs="Arial"/>
          <w:szCs w:val="28"/>
        </w:rPr>
        <w:t>disposición</w:t>
      </w:r>
      <w:r w:rsidR="000E713B" w:rsidRPr="000E713B">
        <w:rPr>
          <w:rFonts w:cs="Arial"/>
          <w:szCs w:val="28"/>
        </w:rPr>
        <w:t xml:space="preserve"> general</w:t>
      </w:r>
      <w:r w:rsidR="00F457DF">
        <w:rPr>
          <w:rFonts w:cs="Arial"/>
          <w:szCs w:val="28"/>
        </w:rPr>
        <w:t xml:space="preserve"> o implementar</w:t>
      </w:r>
      <w:r w:rsidR="000E713B" w:rsidRPr="000E713B">
        <w:rPr>
          <w:rFonts w:cs="Arial"/>
          <w:szCs w:val="28"/>
        </w:rPr>
        <w:t xml:space="preserve"> una acción o medida susceptible de a</w:t>
      </w:r>
      <w:r w:rsidR="00F457DF">
        <w:rPr>
          <w:rFonts w:cs="Arial"/>
          <w:szCs w:val="28"/>
        </w:rPr>
        <w:t xml:space="preserve">fectar sus derechos e intereses, en términos de lo establecido en los artículos </w:t>
      </w:r>
      <w:r w:rsidR="000E713B" w:rsidRPr="000E713B">
        <w:rPr>
          <w:rFonts w:cs="Arial"/>
          <w:szCs w:val="28"/>
        </w:rPr>
        <w:t>2</w:t>
      </w:r>
      <w:r w:rsidR="00F457DF">
        <w:rPr>
          <w:rFonts w:cs="Arial"/>
          <w:szCs w:val="28"/>
        </w:rPr>
        <w:t>º</w:t>
      </w:r>
      <w:r w:rsidR="000E713B" w:rsidRPr="000E713B">
        <w:rPr>
          <w:rFonts w:cs="Arial"/>
          <w:szCs w:val="28"/>
        </w:rPr>
        <w:t xml:space="preserve"> de la Constitución General y el artículo 6 del Convenio 169 Sobre Pueblos Indígenas y Tribales en Países Independientes</w:t>
      </w:r>
      <w:r w:rsidR="00F457DF">
        <w:rPr>
          <w:rFonts w:cs="Arial"/>
          <w:szCs w:val="28"/>
        </w:rPr>
        <w:t xml:space="preserve"> de la Organización Internacional del Trabajo.</w:t>
      </w:r>
    </w:p>
    <w:p w:rsidR="00F457DF" w:rsidRDefault="00F457DF" w:rsidP="000E713B">
      <w:pPr>
        <w:rPr>
          <w:rFonts w:cs="Arial"/>
          <w:szCs w:val="28"/>
        </w:rPr>
      </w:pPr>
    </w:p>
    <w:p w:rsidR="000E713B" w:rsidRPr="000E713B" w:rsidRDefault="00216859" w:rsidP="00216859">
      <w:pPr>
        <w:rPr>
          <w:rFonts w:cs="Arial"/>
          <w:szCs w:val="28"/>
        </w:rPr>
      </w:pPr>
      <w:r>
        <w:rPr>
          <w:rFonts w:cs="Arial"/>
          <w:szCs w:val="28"/>
        </w:rPr>
        <w:t>Para concluir lo anterior, este Tribunal Pleno partió de una</w:t>
      </w:r>
      <w:r w:rsidR="000E713B" w:rsidRPr="000E713B">
        <w:rPr>
          <w:rFonts w:cs="Arial"/>
          <w:szCs w:val="28"/>
        </w:rPr>
        <w:t xml:space="preserve"> interpretación progresiva del artículo 2</w:t>
      </w:r>
      <w:r>
        <w:rPr>
          <w:rFonts w:cs="Arial"/>
          <w:szCs w:val="28"/>
        </w:rPr>
        <w:t xml:space="preserve">º </w:t>
      </w:r>
      <w:r w:rsidR="000E713B" w:rsidRPr="000E713B">
        <w:rPr>
          <w:rFonts w:cs="Arial"/>
          <w:szCs w:val="28"/>
        </w:rPr>
        <w:t>de la Constitución Política de los Estad</w:t>
      </w:r>
      <w:r>
        <w:rPr>
          <w:rFonts w:cs="Arial"/>
          <w:szCs w:val="28"/>
        </w:rPr>
        <w:t>os Unidos Mexicanos</w:t>
      </w:r>
      <w:r w:rsidR="00466424">
        <w:rPr>
          <w:rStyle w:val="Refdenotaalpie"/>
          <w:rFonts w:cs="Arial"/>
          <w:szCs w:val="28"/>
        </w:rPr>
        <w:footnoteReference w:id="29"/>
      </w:r>
      <w:r w:rsidR="000E713B" w:rsidRPr="000E713B">
        <w:rPr>
          <w:rFonts w:cs="Arial"/>
          <w:szCs w:val="28"/>
        </w:rPr>
        <w:t xml:space="preserve">, en el </w:t>
      </w:r>
      <w:r>
        <w:rPr>
          <w:rFonts w:cs="Arial"/>
          <w:szCs w:val="28"/>
        </w:rPr>
        <w:t>cual es establecido</w:t>
      </w:r>
      <w:r w:rsidR="000E713B" w:rsidRPr="000E713B">
        <w:rPr>
          <w:rFonts w:cs="Arial"/>
          <w:szCs w:val="28"/>
        </w:rPr>
        <w:t xml:space="preserve"> el derecho </w:t>
      </w:r>
      <w:r w:rsidR="000E713B" w:rsidRPr="000E713B">
        <w:rPr>
          <w:rFonts w:cs="Arial"/>
          <w:szCs w:val="28"/>
        </w:rPr>
        <w:lastRenderedPageBreak/>
        <w:t>de los pueblos indígenas —</w:t>
      </w:r>
      <w:r>
        <w:rPr>
          <w:rFonts w:cs="Arial"/>
          <w:szCs w:val="28"/>
        </w:rPr>
        <w:t>derecho</w:t>
      </w:r>
      <w:r w:rsidR="000E713B" w:rsidRPr="000E713B">
        <w:rPr>
          <w:rFonts w:cs="Arial"/>
          <w:szCs w:val="28"/>
        </w:rPr>
        <w:t xml:space="preserve"> que ahora </w:t>
      </w:r>
      <w:r>
        <w:rPr>
          <w:rFonts w:cs="Arial"/>
          <w:szCs w:val="28"/>
        </w:rPr>
        <w:t>también tienen</w:t>
      </w:r>
      <w:r w:rsidR="000E713B" w:rsidRPr="000E713B">
        <w:rPr>
          <w:rFonts w:cs="Arial"/>
          <w:szCs w:val="28"/>
        </w:rPr>
        <w:t xml:space="preserve"> los pueblos y comunidades afromexicanas— a la libre determinación y autonomía para decidir sus formas internas de convivencia y organización social, económica, política y cultural.</w:t>
      </w:r>
    </w:p>
    <w:p w:rsidR="000E713B" w:rsidRPr="000E713B" w:rsidRDefault="000E713B" w:rsidP="000E713B">
      <w:pPr>
        <w:rPr>
          <w:rFonts w:cs="Arial"/>
          <w:szCs w:val="28"/>
        </w:rPr>
      </w:pPr>
    </w:p>
    <w:p w:rsidR="000E713B" w:rsidRPr="000E713B" w:rsidRDefault="009504EB" w:rsidP="000E713B">
      <w:pPr>
        <w:rPr>
          <w:rFonts w:cs="Arial"/>
          <w:szCs w:val="28"/>
        </w:rPr>
      </w:pPr>
      <w:r>
        <w:rPr>
          <w:rFonts w:cs="Arial"/>
          <w:szCs w:val="28"/>
        </w:rPr>
        <w:t xml:space="preserve">Al respecto </w:t>
      </w:r>
      <w:r w:rsidR="000E713B" w:rsidRPr="000E713B">
        <w:rPr>
          <w:rFonts w:cs="Arial"/>
          <w:szCs w:val="28"/>
        </w:rPr>
        <w:t xml:space="preserve">es imprescindible traer a colación la exposición de motivos de la reforma a dicho </w:t>
      </w:r>
      <w:r w:rsidR="008C7BA1">
        <w:rPr>
          <w:rFonts w:cs="Arial"/>
          <w:szCs w:val="28"/>
        </w:rPr>
        <w:t>artículo</w:t>
      </w:r>
      <w:r w:rsidR="000E713B" w:rsidRPr="000E713B">
        <w:rPr>
          <w:rFonts w:cs="Arial"/>
          <w:szCs w:val="28"/>
        </w:rPr>
        <w:t xml:space="preserve"> constitucional</w:t>
      </w:r>
      <w:r w:rsidR="008C7BA1">
        <w:rPr>
          <w:rFonts w:cs="Arial"/>
          <w:szCs w:val="28"/>
        </w:rPr>
        <w:t xml:space="preserve"> d</w:t>
      </w:r>
      <w:r w:rsidR="000E713B" w:rsidRPr="000E713B">
        <w:rPr>
          <w:rFonts w:cs="Arial"/>
          <w:szCs w:val="28"/>
        </w:rPr>
        <w:t xml:space="preserve">el catorce de agosto de dos mil uno, presentada por el Presidente de la </w:t>
      </w:r>
      <w:r w:rsidR="008C7BA1">
        <w:rPr>
          <w:rFonts w:cs="Arial"/>
          <w:szCs w:val="28"/>
        </w:rPr>
        <w:t>República, en la cual se expuso</w:t>
      </w:r>
      <w:r w:rsidR="000E713B" w:rsidRPr="000E713B">
        <w:rPr>
          <w:rFonts w:cs="Arial"/>
          <w:szCs w:val="28"/>
        </w:rPr>
        <w:t xml:space="preserve"> entre los antecedentes históricos que dieron lugar a la iniciat</w:t>
      </w:r>
      <w:r w:rsidR="008C7BA1">
        <w:rPr>
          <w:rFonts w:cs="Arial"/>
          <w:szCs w:val="28"/>
        </w:rPr>
        <w:t>iva de reformas a tal precepto lo siguiente</w:t>
      </w:r>
      <w:r w:rsidR="00C95C26">
        <w:rPr>
          <w:rFonts w:cs="Arial"/>
          <w:szCs w:val="28"/>
        </w:rPr>
        <w:t>:</w:t>
      </w:r>
    </w:p>
    <w:p w:rsidR="000E713B" w:rsidRPr="000E713B" w:rsidRDefault="000E713B" w:rsidP="000E713B">
      <w:pPr>
        <w:rPr>
          <w:rFonts w:cs="Arial"/>
          <w:szCs w:val="28"/>
        </w:rPr>
      </w:pPr>
    </w:p>
    <w:p w:rsidR="000E713B" w:rsidRDefault="008C7BA1" w:rsidP="008C7BA1">
      <w:pPr>
        <w:pStyle w:val="corte5transcripcion"/>
      </w:pPr>
      <w:r>
        <w:t xml:space="preserve"> </w:t>
      </w:r>
      <w:r w:rsidR="000E713B" w:rsidRPr="000E713B">
        <w:t>A este respecto, el Convenio sobre Pueblos Indígenas y Tribales en Países Independientes, de la Organización Internacional del Trabajo (N° 169, 1988-1989), reconoce que los pueblos indígenas, en muchas partes del mundo, no gozan de los derechos humanos fundamentales en el mismo grado que el resto de la población de los países en que viven. Igualmente, sostiene que las leyes valores, costumbres y perspectivas de dichos pueblos se erosionan constantemente.</w:t>
      </w:r>
    </w:p>
    <w:p w:rsidR="008C7BA1" w:rsidRPr="000E713B" w:rsidRDefault="008C7BA1" w:rsidP="008C7BA1">
      <w:pPr>
        <w:pStyle w:val="corte5transcripcion"/>
      </w:pPr>
      <w:r>
        <w:t xml:space="preserve"> </w:t>
      </w:r>
    </w:p>
    <w:p w:rsidR="000E713B" w:rsidRDefault="000E713B" w:rsidP="008C7BA1">
      <w:pPr>
        <w:pStyle w:val="corte5transcripcion"/>
      </w:pPr>
      <w:r w:rsidRPr="000E713B">
        <w:t>Nuestro país no es la excepción. A dos siglos de la fundación del Estado nacional, la situación jurídica de los pueblos indígenas es aun profundamente insatisfactoria y su condición social, motivo de honda preocupación nacional.</w:t>
      </w:r>
    </w:p>
    <w:p w:rsidR="008C7BA1" w:rsidRPr="000E713B" w:rsidRDefault="008C7BA1" w:rsidP="008C7BA1">
      <w:pPr>
        <w:pStyle w:val="corte5transcripcion"/>
      </w:pPr>
      <w:r>
        <w:t xml:space="preserve"> </w:t>
      </w:r>
    </w:p>
    <w:p w:rsidR="008C7BA1" w:rsidRDefault="000E713B" w:rsidP="008C7BA1">
      <w:pPr>
        <w:pStyle w:val="corte5transcripcion"/>
      </w:pPr>
      <w:r w:rsidRPr="000E713B">
        <w:t>Los pueblos originarios de estas tierras han sido histórica y frecuentemente obligados a abandonar sus tierras y a remontarse a las más inhóspitas regiones del país; han vivido muchas veces sometidos al dominio caciquil, así como a humillaciones racistas y discriminatorias, y les ha sido negada la posibilidad de expresión y participación políticas.</w:t>
      </w:r>
    </w:p>
    <w:p w:rsidR="008C7BA1" w:rsidRPr="000E713B" w:rsidRDefault="008C7BA1" w:rsidP="008C7BA1">
      <w:pPr>
        <w:pStyle w:val="corte5transcripcion"/>
      </w:pPr>
    </w:p>
    <w:p w:rsidR="000E713B" w:rsidRDefault="000E713B" w:rsidP="008C7BA1">
      <w:pPr>
        <w:pStyle w:val="corte5transcripcion"/>
      </w:pPr>
      <w:r w:rsidRPr="000E713B">
        <w:t>En el transcurso de las últimas décadas, se han realizado esfuerzos para superar la falta de reconocimiento de la situación legal de los indígenas. En esos intentos, se reformó el artículo 4° de la Carta Magna y, con ello, se dio relevancia constitucional a la composición pluricultural de la Nación mexicana, que se sustenta originalmente en sus pueblos indígenas.</w:t>
      </w:r>
    </w:p>
    <w:p w:rsidR="008C7BA1" w:rsidRPr="000E713B" w:rsidRDefault="008C7BA1" w:rsidP="008C7BA1">
      <w:pPr>
        <w:pStyle w:val="corte5transcripcion"/>
      </w:pPr>
    </w:p>
    <w:p w:rsidR="000E713B" w:rsidRDefault="000E713B" w:rsidP="008C7BA1">
      <w:pPr>
        <w:pStyle w:val="corte5transcripcion"/>
      </w:pPr>
      <w:r w:rsidRPr="000E713B">
        <w:t>Sin embargo, la reforma no resultó jurídicamente suficiente para aliviar las graves condiciones de los pueblos y comunidades indígenas del país.</w:t>
      </w:r>
    </w:p>
    <w:p w:rsidR="008C7BA1" w:rsidRPr="000E713B" w:rsidRDefault="008C7BA1" w:rsidP="008C7BA1">
      <w:pPr>
        <w:pStyle w:val="corte5transcripcion"/>
      </w:pPr>
    </w:p>
    <w:p w:rsidR="000E713B" w:rsidRDefault="000E713B" w:rsidP="008C7BA1">
      <w:pPr>
        <w:pStyle w:val="corte5transcripcion"/>
      </w:pPr>
      <w:r w:rsidRPr="000E713B">
        <w:t>Esa situación, que se ha mantenido desde hace mucho tiempo, propició, entre otras cosas, el levantamiento de un grupo armado, el EZLN, que reivindicaba mejores condiciones para los indígenas chiapanecos en particular, y para totalidad de los indígenas del país en lo general.</w:t>
      </w:r>
    </w:p>
    <w:p w:rsidR="008C7BA1" w:rsidRPr="000E713B" w:rsidRDefault="008C7BA1" w:rsidP="008C7BA1">
      <w:pPr>
        <w:pStyle w:val="corte5transcripcion"/>
      </w:pPr>
    </w:p>
    <w:p w:rsidR="000E713B" w:rsidRPr="000E713B" w:rsidRDefault="000E713B" w:rsidP="008C7BA1">
      <w:pPr>
        <w:pStyle w:val="corte5transcripcion"/>
      </w:pPr>
      <w:r w:rsidRPr="000E713B">
        <w:t>Después del cese de fuego en Chiapas y de una larga etapa de negociaciones entre el gobierno federal y el EZLN, pudieron adoptarse una serie de medidas legislativas y consensuales importantes, entre las cuales destaca la Ley para el Diálogo, la Conciliación y la Paz Digna en Chiapas. A partir de ella, las partes en conflicto convinieron en conjunto de documentos que sirvieron de base para los Acuerdos de San Andrés Larráinzar.</w:t>
      </w:r>
    </w:p>
    <w:p w:rsidR="000E713B" w:rsidRDefault="000E713B" w:rsidP="008C7BA1">
      <w:pPr>
        <w:pStyle w:val="corte5transcripcion"/>
      </w:pPr>
      <w:r w:rsidRPr="000E713B">
        <w:t>Dichos Acuerdos de San Andrés en materia de derechos cultura indígenas, surgieron de un esfuerzo por conciliar los problemas de raíz que dieron origen al levantamiento y, además, recogieron las demandas que han planteado los pueblos y comunidades indígenas del país.</w:t>
      </w:r>
    </w:p>
    <w:p w:rsidR="008C7BA1" w:rsidRPr="000E713B" w:rsidRDefault="008C7BA1" w:rsidP="008C7BA1">
      <w:pPr>
        <w:pStyle w:val="corte5transcripcion"/>
      </w:pPr>
    </w:p>
    <w:p w:rsidR="000E713B" w:rsidRDefault="000E713B" w:rsidP="008C7BA1">
      <w:pPr>
        <w:pStyle w:val="corte5transcripcion"/>
      </w:pPr>
      <w:r w:rsidRPr="000E713B">
        <w:t>Una vez suscritos los Acuerdos, el Poder Legislativo contribuyó con su parte a la solución del conflicto. La Comisión de Concordia y Pacificación (COCOPA), como coadyuvante en el proceso de paz, se dio a la tarea de elaborar un texto que reflejara lo pactado en San Andrés Larraínzar, mismo que fue aceptado por el EZLN.</w:t>
      </w:r>
    </w:p>
    <w:p w:rsidR="008C7BA1" w:rsidRPr="000E713B" w:rsidRDefault="008C7BA1" w:rsidP="008C7BA1">
      <w:pPr>
        <w:pStyle w:val="corte5transcripcion"/>
      </w:pPr>
    </w:p>
    <w:p w:rsidR="000E713B" w:rsidRDefault="000E713B" w:rsidP="008C7BA1">
      <w:pPr>
        <w:pStyle w:val="corte5transcripcion"/>
      </w:pPr>
      <w:r w:rsidRPr="000E713B">
        <w:t>La iniciativa de la COCOPA es una manifestación del propósito común de lograr la paz y la reconciliación, así como el reconocimiento de la autonomía de los pueblos indígenas.</w:t>
      </w:r>
    </w:p>
    <w:p w:rsidR="008C7BA1" w:rsidRPr="000E713B" w:rsidRDefault="008C7BA1" w:rsidP="008C7BA1">
      <w:pPr>
        <w:pStyle w:val="corte5transcripcion"/>
      </w:pPr>
    </w:p>
    <w:p w:rsidR="000E713B" w:rsidRDefault="000E713B" w:rsidP="008C7BA1">
      <w:pPr>
        <w:pStyle w:val="corte5transcripcion"/>
      </w:pPr>
      <w:r w:rsidRPr="000E713B">
        <w:t>Como Presidente de la República, estoy seguro que, hoy, la manera acertada de reiniciar el proceso de paz en Chiapas, es retomarla y convertirla en una propuesta de reforma constitucional.</w:t>
      </w:r>
    </w:p>
    <w:p w:rsidR="008C7BA1" w:rsidRPr="000E713B" w:rsidRDefault="008C7BA1" w:rsidP="008C7BA1">
      <w:pPr>
        <w:pStyle w:val="corte5transcripcion"/>
      </w:pPr>
    </w:p>
    <w:p w:rsidR="000E713B" w:rsidRDefault="000E713B" w:rsidP="008C7BA1">
      <w:pPr>
        <w:pStyle w:val="corte5transcripcion"/>
      </w:pPr>
      <w:r w:rsidRPr="000E713B">
        <w:t xml:space="preserve">El gobierno federal está obligado a dar cumplimiento cabal a los compromisos asumidos, así como a convocar, desde luego, a un diálogo plural, incluyente y constructivo en el que participen los pueblos y comunidades indígenas, cuyo propósito central sea el </w:t>
      </w:r>
      <w:r w:rsidRPr="000E713B">
        <w:lastRenderedPageBreak/>
        <w:t>establecimiento de las soluciones jurídicas que habrán de prevalecer ahora sí, con la jerarquía de normas constitucionales.</w:t>
      </w:r>
    </w:p>
    <w:p w:rsidR="008C7BA1" w:rsidRPr="000E713B" w:rsidRDefault="008C7BA1" w:rsidP="008C7BA1">
      <w:pPr>
        <w:pStyle w:val="corte5transcripcion"/>
      </w:pPr>
    </w:p>
    <w:p w:rsidR="000E713B" w:rsidRDefault="000E713B" w:rsidP="008C7BA1">
      <w:pPr>
        <w:pStyle w:val="corte5transcripcion"/>
      </w:pPr>
      <w:r w:rsidRPr="000E713B">
        <w:t>He empeñado mi palabra para que los pueblos indígenas se inserten plenamente en el Estado Mexicano, para garantizar que sean sujetos de su propio desarrollo y tengan plena participación en las decisiones del país.</w:t>
      </w:r>
    </w:p>
    <w:p w:rsidR="008C7BA1" w:rsidRPr="000E713B" w:rsidRDefault="008C7BA1" w:rsidP="008C7BA1">
      <w:pPr>
        <w:pStyle w:val="corte5transcripcion"/>
      </w:pPr>
    </w:p>
    <w:p w:rsidR="000E713B" w:rsidRDefault="000E713B" w:rsidP="008C7BA1">
      <w:pPr>
        <w:pStyle w:val="corte5transcripcion"/>
      </w:pPr>
      <w:r w:rsidRPr="000E713B">
        <w:t>Convencido de ello de la necesidad de lograr la paz en Chiapas, envío como iniciativa de reforma constitucional la propuesta formulada por la COCOPA. Al hacerlo, confirmo que el nuevo diálogo habla con la sinceridad del cumplimiento a la palabra dada. Habrá que señalar que ese documento fue producto del consenso de los representantes, en esa Comisión, de todos los grupos parlamentarios que integraron la LVI legislatura.</w:t>
      </w:r>
    </w:p>
    <w:p w:rsidR="008C7BA1" w:rsidRPr="000E713B" w:rsidRDefault="008C7BA1" w:rsidP="008C7BA1">
      <w:pPr>
        <w:pStyle w:val="corte5transcripcion"/>
      </w:pPr>
    </w:p>
    <w:p w:rsidR="000E713B" w:rsidRPr="000E713B" w:rsidRDefault="000E713B" w:rsidP="008C7BA1">
      <w:pPr>
        <w:pStyle w:val="corte5transcripcion"/>
      </w:pPr>
      <w:r w:rsidRPr="000E713B">
        <w:t>El principal objetivo de las reformas propuestas es desarrollar el contenido constitucional respecto de los pueb</w:t>
      </w:r>
      <w:r w:rsidR="00D770DC">
        <w:t>los indígenas. Ella se inscribe</w:t>
      </w:r>
      <w:r w:rsidRPr="000E713B">
        <w:t xml:space="preserve"> en el marco nuevo derecho internacional en la materia -de la cual el Convenio 169 de la OIT ya m</w:t>
      </w:r>
      <w:r w:rsidR="008C7BA1">
        <w:t>encionado es ejemplo destacado-</w:t>
      </w:r>
      <w:r w:rsidRPr="000E713B">
        <w:t>.</w:t>
      </w:r>
    </w:p>
    <w:p w:rsidR="000E713B" w:rsidRPr="000E713B" w:rsidRDefault="000E713B" w:rsidP="000E713B">
      <w:pPr>
        <w:rPr>
          <w:rFonts w:cs="Arial"/>
          <w:szCs w:val="28"/>
        </w:rPr>
      </w:pPr>
    </w:p>
    <w:p w:rsidR="000E713B" w:rsidRPr="000E713B" w:rsidRDefault="00B41E3C" w:rsidP="000E713B">
      <w:pPr>
        <w:rPr>
          <w:rFonts w:cs="Arial"/>
          <w:szCs w:val="28"/>
        </w:rPr>
      </w:pPr>
      <w:r>
        <w:rPr>
          <w:rFonts w:cs="Arial"/>
          <w:szCs w:val="28"/>
        </w:rPr>
        <w:t>De e</w:t>
      </w:r>
      <w:r w:rsidR="000E713B" w:rsidRPr="000E713B">
        <w:rPr>
          <w:rFonts w:cs="Arial"/>
          <w:szCs w:val="28"/>
        </w:rPr>
        <w:t>ntre las propuestas conjuntas contenidas en los Acuerdos de</w:t>
      </w:r>
      <w:r w:rsidR="000A54F7">
        <w:rPr>
          <w:rFonts w:cs="Arial"/>
          <w:szCs w:val="28"/>
        </w:rPr>
        <w:t xml:space="preserve"> San Andrés Larraínzar </w:t>
      </w:r>
      <w:r w:rsidR="008C7BA1">
        <w:rPr>
          <w:rFonts w:cs="Arial"/>
          <w:szCs w:val="28"/>
        </w:rPr>
        <w:t>destaca</w:t>
      </w:r>
      <w:r w:rsidR="000E713B" w:rsidRPr="000E713B">
        <w:rPr>
          <w:rFonts w:cs="Arial"/>
          <w:szCs w:val="28"/>
        </w:rPr>
        <w:t xml:space="preserve"> para los efectos que al caso interesan, la aprobada el dieciocho de enero de</w:t>
      </w:r>
      <w:r>
        <w:rPr>
          <w:rFonts w:cs="Arial"/>
          <w:szCs w:val="28"/>
        </w:rPr>
        <w:t xml:space="preserve"> mil novecientos noventa y seis en los siguientes términos</w:t>
      </w:r>
      <w:r w:rsidR="00BB4176">
        <w:rPr>
          <w:rFonts w:cs="Arial"/>
          <w:szCs w:val="28"/>
        </w:rPr>
        <w:t>:</w:t>
      </w:r>
    </w:p>
    <w:p w:rsidR="000E713B" w:rsidRPr="000E713B" w:rsidRDefault="000E713B" w:rsidP="000E713B">
      <w:pPr>
        <w:rPr>
          <w:rFonts w:cs="Arial"/>
          <w:szCs w:val="28"/>
        </w:rPr>
      </w:pPr>
    </w:p>
    <w:p w:rsidR="000E713B" w:rsidRPr="000E713B" w:rsidRDefault="000E713B" w:rsidP="00B41E3C">
      <w:pPr>
        <w:pStyle w:val="corte5transcripcion"/>
      </w:pPr>
      <w:r w:rsidRPr="000E713B">
        <w:t>Propuestas conjuntas que el gobierno federal y el EZLN se comprometen a enviar a las instancias de debate y decisión nacional, correspondientes al punto 1.4. de las Reglas de Procedimiento.</w:t>
      </w:r>
    </w:p>
    <w:p w:rsidR="00B41E3C" w:rsidRDefault="00B41E3C" w:rsidP="00B41E3C">
      <w:pPr>
        <w:pStyle w:val="corte5transcripcion"/>
      </w:pPr>
    </w:p>
    <w:p w:rsidR="000E713B" w:rsidRPr="000E713B" w:rsidRDefault="000E713B" w:rsidP="00B41E3C">
      <w:pPr>
        <w:pStyle w:val="corte5transcripcion"/>
      </w:pPr>
      <w:r w:rsidRPr="000E713B">
        <w:t>Las partes se comprometen a enviar a las instancias de debate y decisión nacional las siguientes propuestas conjuntas acordadas: En el marco de la nueva relación del Estado con los pueblos indígenas se requiere reconocer, asegurar y garantizar sus derechos, en un esquema federalista renovado. Dicho objetivo implica la promoción de reformas y adiciones a la Constitución federal y a las leyes que de ella emanan, así como a las constituciones estatales y disposiciones jurídicas de carácter local para conciliar, por una parte, el establecimiento de bases generales que aseguren la unidad y los objetivos nacionales y, al mismo tiempo, permitir que las entidades federativas cuenten con la posibilidad real de legislar y actuar en atención a las particularidades que en materia indígena se presentan en cada una.</w:t>
      </w:r>
    </w:p>
    <w:p w:rsidR="00B41E3C" w:rsidRDefault="00B41E3C" w:rsidP="00B41E3C">
      <w:pPr>
        <w:pStyle w:val="corte5transcripcion"/>
      </w:pPr>
    </w:p>
    <w:p w:rsidR="000E713B" w:rsidRPr="000E713B" w:rsidRDefault="000E713B" w:rsidP="00B41E3C">
      <w:pPr>
        <w:pStyle w:val="corte5transcripcion"/>
      </w:pPr>
      <w:r w:rsidRPr="000E713B">
        <w:t>(…)</w:t>
      </w:r>
    </w:p>
    <w:p w:rsidR="00B41E3C" w:rsidRDefault="00B41E3C" w:rsidP="00B41E3C">
      <w:pPr>
        <w:pStyle w:val="corte5transcripcion"/>
      </w:pPr>
    </w:p>
    <w:p w:rsidR="000E713B" w:rsidRPr="000E713B" w:rsidRDefault="000E713B" w:rsidP="00B41E3C">
      <w:pPr>
        <w:pStyle w:val="corte5transcripcion"/>
      </w:pPr>
      <w:r w:rsidRPr="000E713B">
        <w:t xml:space="preserve">d) Autodesarrollo. Son las propias comunidades y pueblos indígenas quienes deben determinar sus proyectos y programas de desarrollo. Por eso, se estima pertinente incorporar en las legislaciones local y federal los mecanismos idóneos que propicien la participación de los pueblos indígenas en la planeación del desarrollo en todos los niveles; en forma tal que ésta se diseñe tomando en consideración sus aspiraciones, necesidades y prioridades. </w:t>
      </w:r>
    </w:p>
    <w:p w:rsidR="000E713B" w:rsidRPr="000E713B" w:rsidRDefault="000E713B" w:rsidP="00B41E3C">
      <w:pPr>
        <w:pStyle w:val="corte5transcripcion"/>
      </w:pPr>
      <w:r w:rsidRPr="000E713B">
        <w:t>(…)</w:t>
      </w:r>
    </w:p>
    <w:p w:rsidR="00466424" w:rsidRDefault="00466424" w:rsidP="00B41E3C">
      <w:pPr>
        <w:pStyle w:val="corte5transcripcion"/>
      </w:pPr>
    </w:p>
    <w:p w:rsidR="000E713B" w:rsidRPr="000E713B" w:rsidRDefault="000E713B" w:rsidP="00B41E3C">
      <w:pPr>
        <w:pStyle w:val="corte5transcripcion"/>
      </w:pPr>
      <w:r w:rsidRPr="000E713B">
        <w:t xml:space="preserve">IV. La adopción de los siguientes principios, que deben normar la nueva relación entre los pueblos indígenas y el Estado y el resto de la sociedad. </w:t>
      </w:r>
    </w:p>
    <w:p w:rsidR="000E713B" w:rsidRPr="000E713B" w:rsidRDefault="000E713B" w:rsidP="00B41E3C">
      <w:pPr>
        <w:pStyle w:val="corte5transcripcion"/>
      </w:pPr>
      <w:r w:rsidRPr="000E713B">
        <w:t>(…)</w:t>
      </w:r>
    </w:p>
    <w:p w:rsidR="00466424" w:rsidRDefault="00466424" w:rsidP="00B41E3C">
      <w:pPr>
        <w:pStyle w:val="corte5transcripcion"/>
      </w:pPr>
    </w:p>
    <w:p w:rsidR="000E713B" w:rsidRDefault="000E713B" w:rsidP="00B41E3C">
      <w:pPr>
        <w:pStyle w:val="corte5transcripcion"/>
      </w:pPr>
      <w:r w:rsidRPr="000E713B">
        <w:t>4. Consulta y acuerdo. Las políticas, leyes, programas y acciones públicas que tengan relación con los pueblos indígenas serán consultadas con ellos. El Estado deberá impulsar la integridad y concurrencia de todas las instituciones y niveles de gobierno que inciden en la vida de los pueblos indígenas, evitando las prácticas parciales que fraccionen las políticas públicas. Para asegurar que su acción corresponda a las características diferenciadas de los diversos pueblos indígenas, y evitar la imposición de políticas y programas uniformadores, deberá garantizarse su participación en todas las fases de la acción pública, incluyendo su concepción, planeación y evaluación.</w:t>
      </w:r>
    </w:p>
    <w:p w:rsidR="00466424" w:rsidRPr="000E713B" w:rsidRDefault="00466424" w:rsidP="00B41E3C">
      <w:pPr>
        <w:pStyle w:val="corte5transcripcion"/>
      </w:pPr>
    </w:p>
    <w:p w:rsidR="000E713B" w:rsidRPr="000E713B" w:rsidRDefault="000E713B" w:rsidP="00B41E3C">
      <w:pPr>
        <w:pStyle w:val="corte5transcripcion"/>
      </w:pPr>
      <w:r w:rsidRPr="000E713B">
        <w:t>Asimismo, deberá llevarse a cabo la transferencia paulatina y ordenada de facultades, funciones y recursos a los municipios y comunidades para que, con la participación de estas últimas, se distribuyan los fondos públicos que se les asignen. En cuanto a los recursos, y para el caso que existan, se podrán transferir a las formas de organización y asociación previstas en el punto 5.2 del documento de Pronunciamientos Conjuntos.</w:t>
      </w:r>
    </w:p>
    <w:p w:rsidR="00466424" w:rsidRDefault="00466424" w:rsidP="00B41E3C">
      <w:pPr>
        <w:pStyle w:val="corte5transcripcion"/>
      </w:pPr>
    </w:p>
    <w:p w:rsidR="000E713B" w:rsidRPr="000E713B" w:rsidRDefault="000E713B" w:rsidP="00B41E3C">
      <w:pPr>
        <w:pStyle w:val="corte5transcripcion"/>
      </w:pPr>
      <w:r w:rsidRPr="000E713B">
        <w:t>Puesto que las políticas en las áreas indígenas no sólo deben ser concebidas por los propios pueblos, sino implementadas con ellos, las actuales instituciones indigenistas y de desarrollo social que operan en ellas deben ser transformadas en otras que conciban y operen conjunta y concertadamente con el Estad</w:t>
      </w:r>
      <w:r w:rsidR="00466424">
        <w:t>o los propios pueblos indígenas</w:t>
      </w:r>
      <w:r w:rsidRPr="000E713B">
        <w:t xml:space="preserve">. </w:t>
      </w:r>
    </w:p>
    <w:p w:rsidR="000E713B" w:rsidRPr="000E713B" w:rsidRDefault="000E713B" w:rsidP="000E713B">
      <w:pPr>
        <w:rPr>
          <w:rFonts w:cs="Arial"/>
          <w:szCs w:val="28"/>
        </w:rPr>
      </w:pPr>
    </w:p>
    <w:p w:rsidR="000E713B" w:rsidRPr="000E713B" w:rsidRDefault="00466424" w:rsidP="000E713B">
      <w:pPr>
        <w:rPr>
          <w:rFonts w:cs="Arial"/>
          <w:szCs w:val="28"/>
        </w:rPr>
      </w:pPr>
      <w:r>
        <w:rPr>
          <w:rFonts w:cs="Arial"/>
          <w:szCs w:val="28"/>
        </w:rPr>
        <w:t xml:space="preserve">Asimismo, en los precedentes fue considerado </w:t>
      </w:r>
      <w:r w:rsidR="000E713B" w:rsidRPr="000E713B">
        <w:rPr>
          <w:rFonts w:cs="Arial"/>
          <w:szCs w:val="28"/>
        </w:rPr>
        <w:t xml:space="preserve">necesario analizar el Convenio 169 de la Organización Internacional del Trabajo sobre Pueblos Indígenas y Tribales en Países Independientes, adoptado el veintisiete de junio de mil novecientos ochenta y nueve, </w:t>
      </w:r>
      <w:r w:rsidR="000E713B" w:rsidRPr="000E713B">
        <w:rPr>
          <w:rFonts w:cs="Arial"/>
          <w:szCs w:val="28"/>
        </w:rPr>
        <w:lastRenderedPageBreak/>
        <w:t>en Ginebra</w:t>
      </w:r>
      <w:r w:rsidR="002F6A8E">
        <w:rPr>
          <w:rFonts w:cs="Arial"/>
          <w:szCs w:val="28"/>
        </w:rPr>
        <w:t>,</w:t>
      </w:r>
      <w:r w:rsidR="000E713B" w:rsidRPr="000E713B">
        <w:rPr>
          <w:rFonts w:cs="Arial"/>
          <w:szCs w:val="28"/>
        </w:rPr>
        <w:t xml:space="preserve"> Suiza, y aprobado por la Cámara de Senadores del Congreso de la Unión, el once de j</w:t>
      </w:r>
      <w:r>
        <w:rPr>
          <w:rFonts w:cs="Arial"/>
          <w:szCs w:val="28"/>
        </w:rPr>
        <w:t>ulio de mil novecientos noventa</w:t>
      </w:r>
      <w:r>
        <w:rPr>
          <w:rStyle w:val="Refdenotaalpie"/>
          <w:rFonts w:cs="Arial"/>
          <w:szCs w:val="28"/>
        </w:rPr>
        <w:footnoteReference w:id="30"/>
      </w:r>
      <w:r>
        <w:rPr>
          <w:rFonts w:cs="Arial"/>
          <w:szCs w:val="28"/>
        </w:rPr>
        <w:t>, el cual prevé lo siguiente</w:t>
      </w:r>
      <w:r w:rsidR="006C5DA6">
        <w:rPr>
          <w:rFonts w:cs="Arial"/>
          <w:szCs w:val="28"/>
        </w:rPr>
        <w:t>:</w:t>
      </w:r>
    </w:p>
    <w:p w:rsidR="000E713B" w:rsidRPr="000E713B" w:rsidRDefault="000E713B" w:rsidP="000E713B">
      <w:pPr>
        <w:rPr>
          <w:rFonts w:cs="Arial"/>
          <w:szCs w:val="28"/>
        </w:rPr>
      </w:pPr>
    </w:p>
    <w:p w:rsidR="000E713B" w:rsidRPr="000E713B" w:rsidRDefault="000E713B" w:rsidP="00466424">
      <w:pPr>
        <w:pStyle w:val="corte5transcripcion"/>
      </w:pPr>
      <w:r w:rsidRPr="000E713B">
        <w:t>Artículo 6</w:t>
      </w:r>
    </w:p>
    <w:p w:rsidR="000E713B" w:rsidRDefault="000E713B" w:rsidP="00466424">
      <w:pPr>
        <w:pStyle w:val="corte5transcripcion"/>
      </w:pPr>
      <w:r w:rsidRPr="000E713B">
        <w:t>1. Al aplicar las disposiciones del presente Convenio, los gobiernos deberán:</w:t>
      </w:r>
    </w:p>
    <w:p w:rsidR="00466424" w:rsidRPr="000E713B" w:rsidRDefault="00466424" w:rsidP="00466424">
      <w:pPr>
        <w:pStyle w:val="corte5transcripcion"/>
      </w:pPr>
    </w:p>
    <w:p w:rsidR="000E713B" w:rsidRDefault="000E713B" w:rsidP="00466424">
      <w:pPr>
        <w:pStyle w:val="corte5transcripcion"/>
      </w:pPr>
      <w:r w:rsidRPr="000E713B">
        <w:t xml:space="preserve">a) consultar a los pueblos interesados, mediante procedimientos apropiados y en particular a través de sus instituciones representativas, cada vez que se prevean medidas legislativas o administrativas susceptibles de afectarles directamente; </w:t>
      </w:r>
    </w:p>
    <w:p w:rsidR="00466424" w:rsidRPr="000E713B" w:rsidRDefault="00466424" w:rsidP="00466424">
      <w:pPr>
        <w:pStyle w:val="corte5transcripcion"/>
      </w:pPr>
    </w:p>
    <w:p w:rsidR="000E713B" w:rsidRDefault="000E713B" w:rsidP="00466424">
      <w:pPr>
        <w:pStyle w:val="corte5transcripcion"/>
      </w:pPr>
      <w:r w:rsidRPr="000E713B">
        <w:t>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w:t>
      </w:r>
    </w:p>
    <w:p w:rsidR="00466424" w:rsidRPr="000E713B" w:rsidRDefault="00466424" w:rsidP="00466424">
      <w:pPr>
        <w:pStyle w:val="corte5transcripcion"/>
      </w:pPr>
    </w:p>
    <w:p w:rsidR="000E713B" w:rsidRPr="000E713B" w:rsidRDefault="000E713B" w:rsidP="00466424">
      <w:pPr>
        <w:pStyle w:val="corte5transcripcion"/>
      </w:pPr>
      <w:r w:rsidRPr="000E713B">
        <w:t>c) establecer los medios para el pleno desarrollo de las instituciones e iniciativas de esos pueblos, y en los casos apropiados proporcionar los rec</w:t>
      </w:r>
      <w:r w:rsidR="00466424">
        <w:t>ursos necesarios para este fin.</w:t>
      </w:r>
    </w:p>
    <w:p w:rsidR="000E713B" w:rsidRPr="000E713B" w:rsidRDefault="000E713B" w:rsidP="00466424">
      <w:pPr>
        <w:pStyle w:val="corte5transcripcion"/>
      </w:pPr>
    </w:p>
    <w:p w:rsidR="000E713B" w:rsidRPr="000E713B" w:rsidRDefault="000E713B" w:rsidP="00466424">
      <w:pPr>
        <w:pStyle w:val="corte5transcripcion"/>
      </w:pPr>
      <w:r w:rsidRPr="000E713B">
        <w:t>Artículo 7</w:t>
      </w:r>
    </w:p>
    <w:p w:rsidR="000E713B" w:rsidRDefault="000E713B" w:rsidP="00466424">
      <w:pPr>
        <w:pStyle w:val="corte5transcripcion"/>
      </w:pPr>
      <w:r w:rsidRPr="000E713B">
        <w:t>1. Los pueblos interesados deberán tener el derecho de decidir sus propias prioridades en la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rsidR="00466424" w:rsidRPr="000E713B" w:rsidRDefault="00466424" w:rsidP="00466424">
      <w:pPr>
        <w:pStyle w:val="corte5transcripcion"/>
      </w:pPr>
    </w:p>
    <w:p w:rsidR="000E713B" w:rsidRDefault="000E713B" w:rsidP="00466424">
      <w:pPr>
        <w:pStyle w:val="corte5transcripcion"/>
      </w:pPr>
      <w:r w:rsidRPr="000E713B">
        <w:t>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w:t>
      </w:r>
    </w:p>
    <w:p w:rsidR="00466424" w:rsidRPr="000E713B" w:rsidRDefault="00466424" w:rsidP="00466424">
      <w:pPr>
        <w:pStyle w:val="corte5transcripcion"/>
      </w:pPr>
    </w:p>
    <w:p w:rsidR="000E713B" w:rsidRDefault="000E713B" w:rsidP="00466424">
      <w:pPr>
        <w:pStyle w:val="corte5transcripcion"/>
      </w:pPr>
      <w:r w:rsidRPr="000E713B">
        <w:t xml:space="preserve">3. Los gobiernos deberán velar por que, siempre que haya lugar, se efectúen estudios, en cooperación con los pueblos interesados, a fin de evaluar la incidencia social, espiritual y cultural y sobre el medio ambiente que las actividades de desarrollo previstas puedan </w:t>
      </w:r>
      <w:r w:rsidRPr="000E713B">
        <w:lastRenderedPageBreak/>
        <w:t>tener sobre esos pueblos. Los resultados de estos estudios deberán ser considerados como criterios fundamentales para la ejecución de las actividades mencionadas.</w:t>
      </w:r>
    </w:p>
    <w:p w:rsidR="00466424" w:rsidRPr="000E713B" w:rsidRDefault="00466424" w:rsidP="00466424">
      <w:pPr>
        <w:pStyle w:val="corte5transcripcion"/>
      </w:pPr>
    </w:p>
    <w:p w:rsidR="000E713B" w:rsidRPr="000E713B" w:rsidRDefault="000E713B" w:rsidP="00466424">
      <w:pPr>
        <w:pStyle w:val="corte5transcripcion"/>
      </w:pPr>
      <w:r w:rsidRPr="000E713B">
        <w:t xml:space="preserve">4. Los gobiernos deberán tomar medidas, en cooperación con los pueblos interesados, para proteger y preservar el medio ambiente </w:t>
      </w:r>
      <w:r w:rsidR="00466424">
        <w:t>de los territorios que habitan.</w:t>
      </w:r>
    </w:p>
    <w:p w:rsidR="000E713B" w:rsidRPr="000E713B" w:rsidRDefault="000E713B" w:rsidP="000E713B">
      <w:pPr>
        <w:rPr>
          <w:rFonts w:cs="Arial"/>
          <w:szCs w:val="28"/>
        </w:rPr>
      </w:pPr>
    </w:p>
    <w:p w:rsidR="000E713B" w:rsidRPr="000E713B" w:rsidRDefault="000E713B" w:rsidP="0062384E">
      <w:pPr>
        <w:rPr>
          <w:rFonts w:cs="Arial"/>
          <w:szCs w:val="28"/>
        </w:rPr>
      </w:pPr>
      <w:r w:rsidRPr="000E713B">
        <w:rPr>
          <w:rFonts w:cs="Arial"/>
          <w:szCs w:val="28"/>
        </w:rPr>
        <w:t xml:space="preserve">Ahora, de conformidad con el marco normativo y los precedentes expuestos, este Tribunal Pleno </w:t>
      </w:r>
      <w:r w:rsidR="00D340F9">
        <w:rPr>
          <w:rFonts w:cs="Arial"/>
          <w:szCs w:val="28"/>
        </w:rPr>
        <w:t>ha concluido reiteradamente que</w:t>
      </w:r>
      <w:r w:rsidRPr="000E713B">
        <w:rPr>
          <w:rFonts w:cs="Arial"/>
          <w:szCs w:val="28"/>
        </w:rPr>
        <w:t xml:space="preserve"> en términos de lo dispuesto </w:t>
      </w:r>
      <w:r w:rsidR="0062384E">
        <w:rPr>
          <w:rFonts w:cs="Arial"/>
          <w:szCs w:val="28"/>
        </w:rPr>
        <w:t>en</w:t>
      </w:r>
      <w:r w:rsidRPr="000E713B">
        <w:rPr>
          <w:rFonts w:cs="Arial"/>
          <w:szCs w:val="28"/>
        </w:rPr>
        <w:t xml:space="preserve"> los artículos 1</w:t>
      </w:r>
      <w:r w:rsidR="0062384E">
        <w:rPr>
          <w:rFonts w:cs="Arial"/>
          <w:szCs w:val="28"/>
        </w:rPr>
        <w:t>º</w:t>
      </w:r>
      <w:r w:rsidRPr="000E713B">
        <w:rPr>
          <w:rFonts w:cs="Arial"/>
          <w:szCs w:val="28"/>
        </w:rPr>
        <w:t>, párrafo primero</w:t>
      </w:r>
      <w:r w:rsidR="0062384E">
        <w:rPr>
          <w:rFonts w:cs="Arial"/>
          <w:szCs w:val="28"/>
        </w:rPr>
        <w:t xml:space="preserve">, </w:t>
      </w:r>
      <w:r w:rsidRPr="000E713B">
        <w:rPr>
          <w:rFonts w:cs="Arial"/>
          <w:szCs w:val="28"/>
        </w:rPr>
        <w:t>2</w:t>
      </w:r>
      <w:r w:rsidR="0062384E">
        <w:rPr>
          <w:rFonts w:cs="Arial"/>
          <w:szCs w:val="28"/>
        </w:rPr>
        <w:t>º</w:t>
      </w:r>
      <w:r w:rsidRPr="000E713B">
        <w:rPr>
          <w:rFonts w:cs="Arial"/>
          <w:szCs w:val="28"/>
        </w:rPr>
        <w:t xml:space="preserve"> de la Const</w:t>
      </w:r>
      <w:r w:rsidR="0062384E">
        <w:rPr>
          <w:rFonts w:cs="Arial"/>
          <w:szCs w:val="28"/>
        </w:rPr>
        <w:t>itución General de la República</w:t>
      </w:r>
      <w:r w:rsidRPr="000E713B">
        <w:rPr>
          <w:rFonts w:cs="Arial"/>
          <w:szCs w:val="28"/>
        </w:rPr>
        <w:t xml:space="preserve"> y 6 del Convenio 169 de la OIT, los pueblos indígenas y afromexicanos tienen el d</w:t>
      </w:r>
      <w:r w:rsidR="0062384E">
        <w:rPr>
          <w:rFonts w:cs="Arial"/>
          <w:szCs w:val="28"/>
        </w:rPr>
        <w:t>erecho humano a ser consultados</w:t>
      </w:r>
      <w:r w:rsidRPr="000E713B">
        <w:rPr>
          <w:rFonts w:cs="Arial"/>
          <w:szCs w:val="28"/>
        </w:rPr>
        <w:t xml:space="preserve"> mediante procedimientos culturalmente adecuados, informados y de buena fe a través de sus representantes cada vez que se prevean medidas susceptibles </w:t>
      </w:r>
      <w:r w:rsidR="0062384E">
        <w:rPr>
          <w:rFonts w:cs="Arial"/>
          <w:szCs w:val="28"/>
        </w:rPr>
        <w:t>de afectarles directamente</w:t>
      </w:r>
      <w:r w:rsidRPr="000E713B">
        <w:rPr>
          <w:rFonts w:cs="Arial"/>
          <w:szCs w:val="28"/>
        </w:rPr>
        <w:t xml:space="preserve">. </w:t>
      </w:r>
    </w:p>
    <w:p w:rsidR="000E713B" w:rsidRPr="000E713B" w:rsidRDefault="000E713B" w:rsidP="000E713B">
      <w:pPr>
        <w:rPr>
          <w:rFonts w:cs="Arial"/>
          <w:szCs w:val="28"/>
        </w:rPr>
      </w:pPr>
    </w:p>
    <w:p w:rsidR="0062384E" w:rsidRDefault="000E713B" w:rsidP="000E713B">
      <w:pPr>
        <w:rPr>
          <w:rFonts w:cs="Arial"/>
          <w:szCs w:val="28"/>
        </w:rPr>
      </w:pPr>
      <w:r w:rsidRPr="000E713B">
        <w:rPr>
          <w:rFonts w:cs="Arial"/>
          <w:szCs w:val="28"/>
        </w:rPr>
        <w:t xml:space="preserve">Ello, en suma, porque </w:t>
      </w:r>
      <w:r w:rsidR="0062384E">
        <w:rPr>
          <w:rFonts w:cs="Arial"/>
          <w:szCs w:val="28"/>
        </w:rPr>
        <w:t xml:space="preserve">en </w:t>
      </w:r>
      <w:r w:rsidRPr="000E713B">
        <w:rPr>
          <w:rFonts w:cs="Arial"/>
          <w:szCs w:val="28"/>
        </w:rPr>
        <w:t>la reforma al artículo 2</w:t>
      </w:r>
      <w:r w:rsidR="0062384E">
        <w:rPr>
          <w:rFonts w:cs="Arial"/>
          <w:szCs w:val="28"/>
        </w:rPr>
        <w:t>º</w:t>
      </w:r>
      <w:r w:rsidRPr="000E713B">
        <w:rPr>
          <w:rFonts w:cs="Arial"/>
          <w:szCs w:val="28"/>
        </w:rPr>
        <w:t xml:space="preserve"> constitucional</w:t>
      </w:r>
      <w:r w:rsidR="0062384E">
        <w:rPr>
          <w:rFonts w:cs="Arial"/>
          <w:szCs w:val="28"/>
        </w:rPr>
        <w:t xml:space="preserve"> d</w:t>
      </w:r>
      <w:r w:rsidRPr="000E713B">
        <w:rPr>
          <w:rFonts w:cs="Arial"/>
          <w:szCs w:val="28"/>
        </w:rPr>
        <w:t xml:space="preserve">el catorce de agosto de dos mil uno </w:t>
      </w:r>
      <w:r w:rsidR="0062384E">
        <w:rPr>
          <w:rFonts w:cs="Arial"/>
          <w:szCs w:val="28"/>
        </w:rPr>
        <w:t>fue reconocida</w:t>
      </w:r>
      <w:r w:rsidRPr="000E713B">
        <w:rPr>
          <w:rFonts w:cs="Arial"/>
          <w:szCs w:val="28"/>
        </w:rPr>
        <w:t xml:space="preserve"> la composición pluricultural de la Nación</w:t>
      </w:r>
      <w:r w:rsidR="0062384E">
        <w:rPr>
          <w:rFonts w:cs="Arial"/>
          <w:szCs w:val="28"/>
        </w:rPr>
        <w:t xml:space="preserve"> y establecido </w:t>
      </w:r>
      <w:r w:rsidRPr="000E713B">
        <w:rPr>
          <w:rFonts w:cs="Arial"/>
          <w:szCs w:val="28"/>
        </w:rPr>
        <w:t xml:space="preserve">que los pueblos indígenas son aquellos que descienden de poblaciones que habitaban en el territorio actual del país al iniciarse la colonización y que conservan sus propias instituciones sociales, económicas, culturales y políticas. </w:t>
      </w:r>
    </w:p>
    <w:p w:rsidR="0062384E" w:rsidRDefault="0062384E" w:rsidP="000E713B">
      <w:pPr>
        <w:rPr>
          <w:rFonts w:cs="Arial"/>
          <w:szCs w:val="28"/>
        </w:rPr>
      </w:pPr>
    </w:p>
    <w:p w:rsidR="000E713B" w:rsidRPr="000E713B" w:rsidRDefault="000E713B" w:rsidP="000E713B">
      <w:pPr>
        <w:rPr>
          <w:rFonts w:cs="Arial"/>
          <w:szCs w:val="28"/>
        </w:rPr>
      </w:pPr>
      <w:r w:rsidRPr="000E713B">
        <w:rPr>
          <w:rFonts w:cs="Arial"/>
          <w:szCs w:val="28"/>
        </w:rPr>
        <w:t>Además, estableció los criterios para determinar qué comunidades pueden considerarse indígenas y que el derecho de los pueblos indígenas a la libre determinación se ejercerá en un marco constitucional de autonomía.</w:t>
      </w:r>
    </w:p>
    <w:p w:rsidR="000E713B" w:rsidRPr="000E713B" w:rsidRDefault="000E713B" w:rsidP="000E713B">
      <w:pPr>
        <w:rPr>
          <w:rFonts w:cs="Arial"/>
          <w:szCs w:val="28"/>
        </w:rPr>
      </w:pPr>
    </w:p>
    <w:p w:rsidR="000E713B" w:rsidRPr="000E713B" w:rsidRDefault="000E713B" w:rsidP="000E713B">
      <w:pPr>
        <w:rPr>
          <w:rFonts w:cs="Arial"/>
          <w:szCs w:val="28"/>
        </w:rPr>
      </w:pPr>
      <w:r w:rsidRPr="000E713B">
        <w:rPr>
          <w:rFonts w:cs="Arial"/>
          <w:szCs w:val="28"/>
        </w:rPr>
        <w:t xml:space="preserve">Asimismo, </w:t>
      </w:r>
      <w:r w:rsidR="003C4176">
        <w:rPr>
          <w:rFonts w:cs="Arial"/>
          <w:szCs w:val="28"/>
        </w:rPr>
        <w:t>fue establecido</w:t>
      </w:r>
      <w:r w:rsidRPr="000E713B">
        <w:rPr>
          <w:rFonts w:cs="Arial"/>
          <w:szCs w:val="28"/>
        </w:rPr>
        <w:t xml:space="preserve"> el derecho de las comunidades indígenas de decidir sus formas internas de convivencia y organización social, económica, política y cultural; elegir de acuerdo con sus normas, procedimi</w:t>
      </w:r>
      <w:r w:rsidR="003C4176">
        <w:rPr>
          <w:rFonts w:cs="Arial"/>
          <w:szCs w:val="28"/>
        </w:rPr>
        <w:t>entos y prácticas tradicionales</w:t>
      </w:r>
      <w:r w:rsidRPr="000E713B">
        <w:rPr>
          <w:rFonts w:cs="Arial"/>
          <w:szCs w:val="28"/>
        </w:rPr>
        <w:t xml:space="preserve"> a las autoridades o representantes para el ejercicio de sus formas propias </w:t>
      </w:r>
      <w:r w:rsidR="003C4176">
        <w:rPr>
          <w:rFonts w:cs="Arial"/>
          <w:szCs w:val="28"/>
        </w:rPr>
        <w:t>de gobierno interno, bajo la premisa de</w:t>
      </w:r>
      <w:r w:rsidRPr="000E713B">
        <w:rPr>
          <w:rFonts w:cs="Arial"/>
          <w:szCs w:val="28"/>
        </w:rPr>
        <w:t xml:space="preserve"> que las constituciones y leyes de las entidades federativas reconocerán y regularán estos derechos en los municipios, con el propósito de fortalecer la participación y </w:t>
      </w:r>
      <w:r w:rsidRPr="000E713B">
        <w:rPr>
          <w:rFonts w:cs="Arial"/>
          <w:szCs w:val="28"/>
        </w:rPr>
        <w:lastRenderedPageBreak/>
        <w:t>representación política de conformidad con sus tradiciones y normas internas.</w:t>
      </w:r>
    </w:p>
    <w:p w:rsidR="000E713B" w:rsidRPr="000E713B" w:rsidRDefault="000E713B" w:rsidP="000E713B">
      <w:pPr>
        <w:rPr>
          <w:rFonts w:cs="Arial"/>
          <w:szCs w:val="28"/>
        </w:rPr>
      </w:pPr>
    </w:p>
    <w:p w:rsidR="000E713B" w:rsidRPr="000E713B" w:rsidRDefault="000E713B" w:rsidP="000E713B">
      <w:pPr>
        <w:rPr>
          <w:rFonts w:cs="Arial"/>
          <w:szCs w:val="28"/>
        </w:rPr>
      </w:pPr>
      <w:r w:rsidRPr="000E713B">
        <w:rPr>
          <w:rFonts w:cs="Arial"/>
          <w:szCs w:val="28"/>
        </w:rPr>
        <w:t xml:space="preserve">Adicionalmente, el derecho a la consulta de los pueblos indígenas y afromexicanos en todos los temas que les afecten </w:t>
      </w:r>
      <w:r w:rsidR="00002DAF">
        <w:rPr>
          <w:rFonts w:cs="Arial"/>
          <w:szCs w:val="28"/>
        </w:rPr>
        <w:t xml:space="preserve">directamente está </w:t>
      </w:r>
      <w:r w:rsidRPr="000E713B">
        <w:rPr>
          <w:rFonts w:cs="Arial"/>
          <w:szCs w:val="28"/>
        </w:rPr>
        <w:t>reconocido expresamen</w:t>
      </w:r>
      <w:r w:rsidR="00002DAF">
        <w:rPr>
          <w:rFonts w:cs="Arial"/>
          <w:szCs w:val="28"/>
        </w:rPr>
        <w:t>te en el Convenio 169 de la OIT</w:t>
      </w:r>
      <w:r w:rsidRPr="000E713B">
        <w:rPr>
          <w:rFonts w:cs="Arial"/>
          <w:szCs w:val="28"/>
        </w:rPr>
        <w:t xml:space="preserve"> </w:t>
      </w:r>
      <w:r w:rsidR="00002DAF">
        <w:rPr>
          <w:rFonts w:cs="Arial"/>
          <w:szCs w:val="28"/>
        </w:rPr>
        <w:t>e</w:t>
      </w:r>
      <w:r w:rsidRPr="000E713B">
        <w:rPr>
          <w:rFonts w:cs="Arial"/>
          <w:szCs w:val="28"/>
        </w:rPr>
        <w:t xml:space="preserve"> Incluso, dicho derecho puede válidamente </w:t>
      </w:r>
      <w:r w:rsidR="00002DAF">
        <w:rPr>
          <w:rFonts w:cs="Arial"/>
          <w:szCs w:val="28"/>
        </w:rPr>
        <w:t>deducirse</w:t>
      </w:r>
      <w:r w:rsidRPr="000E713B">
        <w:rPr>
          <w:rFonts w:cs="Arial"/>
          <w:szCs w:val="28"/>
        </w:rPr>
        <w:t xml:space="preserve"> del propio texto del artículo 2</w:t>
      </w:r>
      <w:r w:rsidR="00002DAF">
        <w:rPr>
          <w:rFonts w:cs="Arial"/>
          <w:szCs w:val="28"/>
        </w:rPr>
        <w:t>º</w:t>
      </w:r>
      <w:r w:rsidRPr="000E713B">
        <w:rPr>
          <w:rFonts w:cs="Arial"/>
          <w:szCs w:val="28"/>
        </w:rPr>
        <w:t xml:space="preserve"> constitucional a partir, precisamente, de los postulados que contiene en cuanto a que reconoce su derecho a la autodeterminación, a la preservación de su cultura e iden</w:t>
      </w:r>
      <w:r w:rsidR="00002DAF">
        <w:rPr>
          <w:rFonts w:cs="Arial"/>
          <w:szCs w:val="28"/>
        </w:rPr>
        <w:t xml:space="preserve">tidad, al acceso a la justicia y </w:t>
      </w:r>
      <w:r w:rsidRPr="000E713B">
        <w:rPr>
          <w:rFonts w:cs="Arial"/>
          <w:szCs w:val="28"/>
        </w:rPr>
        <w:t xml:space="preserve">a la igualdad y no discriminación. </w:t>
      </w:r>
    </w:p>
    <w:p w:rsidR="000E713B" w:rsidRPr="000E713B" w:rsidRDefault="000E713B" w:rsidP="000E713B">
      <w:pPr>
        <w:rPr>
          <w:rFonts w:cs="Arial"/>
          <w:szCs w:val="28"/>
        </w:rPr>
      </w:pPr>
    </w:p>
    <w:p w:rsidR="000E713B" w:rsidRPr="000E713B" w:rsidRDefault="000E713B" w:rsidP="000E713B">
      <w:pPr>
        <w:rPr>
          <w:rFonts w:cs="Arial"/>
          <w:szCs w:val="28"/>
        </w:rPr>
      </w:pPr>
      <w:r w:rsidRPr="000E713B">
        <w:rPr>
          <w:rFonts w:cs="Arial"/>
          <w:szCs w:val="28"/>
        </w:rPr>
        <w:t>Actualmente, el artículo 2</w:t>
      </w:r>
      <w:r w:rsidR="00002DAF">
        <w:rPr>
          <w:rFonts w:cs="Arial"/>
          <w:szCs w:val="28"/>
        </w:rPr>
        <w:t>º</w:t>
      </w:r>
      <w:r w:rsidRPr="000E713B">
        <w:rPr>
          <w:rFonts w:cs="Arial"/>
          <w:szCs w:val="28"/>
        </w:rPr>
        <w:t xml:space="preserve"> cons</w:t>
      </w:r>
      <w:r w:rsidR="00002DAF">
        <w:rPr>
          <w:rFonts w:cs="Arial"/>
          <w:szCs w:val="28"/>
        </w:rPr>
        <w:t>titucional dispone lo siguiente</w:t>
      </w:r>
      <w:r w:rsidR="003C466E">
        <w:rPr>
          <w:rFonts w:cs="Arial"/>
          <w:szCs w:val="28"/>
        </w:rPr>
        <w:t>:</w:t>
      </w:r>
    </w:p>
    <w:p w:rsidR="000E713B" w:rsidRPr="000E713B" w:rsidRDefault="000E713B" w:rsidP="000E713B">
      <w:pPr>
        <w:rPr>
          <w:rFonts w:cs="Arial"/>
          <w:szCs w:val="28"/>
        </w:rPr>
      </w:pPr>
    </w:p>
    <w:p w:rsidR="000E713B" w:rsidRDefault="00731B2A" w:rsidP="00002DAF">
      <w:pPr>
        <w:pStyle w:val="corte5transcripcion"/>
      </w:pPr>
      <w:r>
        <w:t>Artículo 2º.</w:t>
      </w:r>
      <w:r w:rsidR="000E713B" w:rsidRPr="000E713B">
        <w:t xml:space="preserve"> La Nación Mexicana es única e indivisible.</w:t>
      </w:r>
    </w:p>
    <w:p w:rsidR="00002DAF" w:rsidRPr="000E713B" w:rsidRDefault="00002DAF" w:rsidP="00002DAF">
      <w:pPr>
        <w:pStyle w:val="corte5transcripcion"/>
      </w:pPr>
    </w:p>
    <w:p w:rsidR="000E713B" w:rsidRDefault="000E713B" w:rsidP="00002DAF">
      <w:pPr>
        <w:pStyle w:val="corte5transcripcion"/>
      </w:pPr>
      <w:r w:rsidRPr="000E713B">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002DAF" w:rsidRPr="000E713B" w:rsidRDefault="00002DAF" w:rsidP="00002DAF">
      <w:pPr>
        <w:pStyle w:val="corte5transcripcion"/>
      </w:pPr>
    </w:p>
    <w:p w:rsidR="000E713B" w:rsidRDefault="000E713B" w:rsidP="00002DAF">
      <w:pPr>
        <w:pStyle w:val="corte5transcripcion"/>
      </w:pPr>
      <w:r w:rsidRPr="000E713B">
        <w:t>La conciencia de su identidad indígena deberá ser criterio fundamental para determinar a quiénes se aplican las disposiciones sobre pueblos indígenas.</w:t>
      </w:r>
    </w:p>
    <w:p w:rsidR="00002DAF" w:rsidRPr="000E713B" w:rsidRDefault="00002DAF" w:rsidP="00002DAF">
      <w:pPr>
        <w:pStyle w:val="corte5transcripcion"/>
      </w:pPr>
    </w:p>
    <w:p w:rsidR="000E713B" w:rsidRPr="000E713B" w:rsidRDefault="000E713B" w:rsidP="00002DAF">
      <w:pPr>
        <w:pStyle w:val="corte5transcripcion"/>
      </w:pPr>
      <w:r w:rsidRPr="000E713B">
        <w:t>Son comunidades integrantes de un pueblo indígena, aquellas que formen una unidad social, económica y cultural, asentadas en un territorio y que reconocen autoridades propias de acuerdo con sus usos y costumbres.</w:t>
      </w:r>
    </w:p>
    <w:p w:rsidR="000E713B" w:rsidRDefault="000E713B" w:rsidP="00002DAF">
      <w:pPr>
        <w:pStyle w:val="corte5transcripcion"/>
      </w:pPr>
      <w:r w:rsidRPr="000E713B">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rsidR="00002DAF" w:rsidRPr="000E713B" w:rsidRDefault="00002DAF" w:rsidP="00002DAF">
      <w:pPr>
        <w:pStyle w:val="corte5transcripcion"/>
      </w:pPr>
    </w:p>
    <w:p w:rsidR="000E713B" w:rsidRDefault="000E713B" w:rsidP="00002DAF">
      <w:pPr>
        <w:pStyle w:val="corte5transcripcion"/>
      </w:pPr>
      <w:r w:rsidRPr="000E713B">
        <w:t>A. Esta Constitución reconoce y garantiza el derecho de los pueblos y las comunidades indígenas a la libre determinación y, en consecuencia, a la autonomía para:</w:t>
      </w:r>
    </w:p>
    <w:p w:rsidR="00002DAF" w:rsidRPr="000E713B" w:rsidRDefault="00002DAF" w:rsidP="00002DAF">
      <w:pPr>
        <w:pStyle w:val="corte5transcripcion"/>
      </w:pPr>
    </w:p>
    <w:p w:rsidR="000E713B" w:rsidRDefault="000E713B" w:rsidP="00002DAF">
      <w:pPr>
        <w:pStyle w:val="corte5transcripcion"/>
      </w:pPr>
      <w:r w:rsidRPr="000E713B">
        <w:t>I. Decidir sus formas internas de convivencia y organización social, económica, política y cultural.</w:t>
      </w:r>
    </w:p>
    <w:p w:rsidR="00002DAF" w:rsidRPr="000E713B" w:rsidRDefault="00002DAF" w:rsidP="00002DAF">
      <w:pPr>
        <w:pStyle w:val="corte5transcripcion"/>
      </w:pPr>
    </w:p>
    <w:p w:rsidR="000E713B" w:rsidRDefault="000E713B" w:rsidP="00002DAF">
      <w:pPr>
        <w:pStyle w:val="corte5transcripcion"/>
      </w:pPr>
      <w:r w:rsidRPr="000E713B">
        <w:t>II.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002DAF" w:rsidRPr="000E713B" w:rsidRDefault="00002DAF" w:rsidP="00002DAF">
      <w:pPr>
        <w:pStyle w:val="corte5transcripcion"/>
      </w:pPr>
    </w:p>
    <w:p w:rsidR="000E713B" w:rsidRPr="000E713B" w:rsidRDefault="000E713B" w:rsidP="00002DAF">
      <w:pPr>
        <w:pStyle w:val="corte5transcripcion"/>
      </w:pPr>
      <w:r w:rsidRPr="000E713B">
        <w:t>III. 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p>
    <w:p w:rsidR="000E713B" w:rsidRPr="000E713B" w:rsidRDefault="000E713B" w:rsidP="00002DAF">
      <w:pPr>
        <w:pStyle w:val="corte5transcripcion"/>
      </w:pPr>
      <w:r w:rsidRPr="000E713B">
        <w:t>IV. Preservar y enriquecer sus lenguas, conocimientos y todos los elementos que constituyan su cultura e identidad.</w:t>
      </w:r>
    </w:p>
    <w:p w:rsidR="00002DAF" w:rsidRDefault="00002DAF" w:rsidP="00002DAF">
      <w:pPr>
        <w:pStyle w:val="corte5transcripcion"/>
      </w:pPr>
    </w:p>
    <w:p w:rsidR="000E713B" w:rsidRPr="000E713B" w:rsidRDefault="000E713B" w:rsidP="00002DAF">
      <w:pPr>
        <w:pStyle w:val="corte5transcripcion"/>
      </w:pPr>
      <w:r w:rsidRPr="000E713B">
        <w:t>(…)</w:t>
      </w:r>
    </w:p>
    <w:p w:rsidR="00002DAF" w:rsidRDefault="00002DAF" w:rsidP="00002DAF">
      <w:pPr>
        <w:pStyle w:val="corte5transcripcion"/>
      </w:pPr>
    </w:p>
    <w:p w:rsidR="000E713B" w:rsidRPr="000E713B" w:rsidRDefault="000E713B" w:rsidP="00002DAF">
      <w:pPr>
        <w:pStyle w:val="corte5transcripcion"/>
      </w:pPr>
      <w:r w:rsidRPr="000E713B">
        <w:t>VII. Elegir, en los municipios con población indígena, representantes ante los ayuntamientos, observando el principio de paridad de género conforme a las normas aplicables.</w:t>
      </w:r>
    </w:p>
    <w:p w:rsidR="00002DAF" w:rsidRDefault="00002DAF" w:rsidP="00002DAF">
      <w:pPr>
        <w:pStyle w:val="corte5transcripcion"/>
      </w:pPr>
    </w:p>
    <w:p w:rsidR="000E713B" w:rsidRPr="000E713B" w:rsidRDefault="000E713B" w:rsidP="00002DAF">
      <w:pPr>
        <w:pStyle w:val="corte5transcripcion"/>
      </w:pPr>
      <w:r w:rsidRPr="000E713B">
        <w:t>Las constituciones y leyes de las entidades federativas reconocerán y regularán estos derechos en los municipios, con el propósito de fortalecer la participación y representación política de conformidad con sus tradiciones y normas internas.</w:t>
      </w:r>
    </w:p>
    <w:p w:rsidR="00002DAF" w:rsidRDefault="00002DAF" w:rsidP="00002DAF">
      <w:pPr>
        <w:pStyle w:val="corte5transcripcion"/>
      </w:pPr>
    </w:p>
    <w:p w:rsidR="000E713B" w:rsidRPr="000E713B" w:rsidRDefault="000E713B" w:rsidP="00002DAF">
      <w:pPr>
        <w:pStyle w:val="corte5transcripcion"/>
      </w:pPr>
      <w:r w:rsidRPr="000E713B">
        <w:t>(…)</w:t>
      </w:r>
    </w:p>
    <w:p w:rsidR="00002DAF" w:rsidRDefault="00002DAF" w:rsidP="00002DAF">
      <w:pPr>
        <w:pStyle w:val="corte5transcripcion"/>
      </w:pPr>
    </w:p>
    <w:p w:rsidR="000E713B" w:rsidRDefault="000E713B" w:rsidP="00002DAF">
      <w:pPr>
        <w:pStyle w:val="corte5transcripcion"/>
      </w:pPr>
      <w:r w:rsidRPr="000E713B">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rsidR="00002DAF" w:rsidRPr="000E713B" w:rsidRDefault="00002DAF" w:rsidP="00002DAF">
      <w:pPr>
        <w:pStyle w:val="corte5transcripcion"/>
      </w:pPr>
    </w:p>
    <w:p w:rsidR="000E713B" w:rsidRPr="000E713B" w:rsidRDefault="000E713B" w:rsidP="00002DAF">
      <w:pPr>
        <w:pStyle w:val="corte5transcripcion"/>
      </w:pPr>
      <w:r w:rsidRPr="000E713B">
        <w:t>B. 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002DAF" w:rsidRDefault="00002DAF" w:rsidP="00002DAF">
      <w:pPr>
        <w:pStyle w:val="corte5transcripcion"/>
      </w:pPr>
    </w:p>
    <w:p w:rsidR="000E713B" w:rsidRPr="000E713B" w:rsidRDefault="000E713B" w:rsidP="00002DAF">
      <w:pPr>
        <w:pStyle w:val="corte5transcripcion"/>
      </w:pPr>
      <w:r w:rsidRPr="000E713B">
        <w:t>Para abatir las carencias y rezagos que afectan a los pueblos y comunidades indígenas, dichas autoridades, tienen la obligación de:</w:t>
      </w:r>
    </w:p>
    <w:p w:rsidR="00002DAF" w:rsidRDefault="00002DAF" w:rsidP="00002DAF">
      <w:pPr>
        <w:pStyle w:val="corte5transcripcion"/>
      </w:pPr>
    </w:p>
    <w:p w:rsidR="000E713B" w:rsidRPr="000E713B" w:rsidRDefault="000E713B" w:rsidP="00002DAF">
      <w:pPr>
        <w:pStyle w:val="corte5transcripcion"/>
      </w:pPr>
      <w:r w:rsidRPr="000E713B">
        <w:t>(…)</w:t>
      </w:r>
    </w:p>
    <w:p w:rsidR="00002DAF" w:rsidRDefault="00002DAF" w:rsidP="00002DAF">
      <w:pPr>
        <w:pStyle w:val="corte5transcripcion"/>
      </w:pPr>
    </w:p>
    <w:p w:rsidR="000E713B" w:rsidRPr="000E713B" w:rsidRDefault="000E713B" w:rsidP="00002DAF">
      <w:pPr>
        <w:pStyle w:val="corte5transcripcion"/>
      </w:pPr>
      <w:r w:rsidRPr="000E713B">
        <w:t>IX. 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rsidR="00002DAF" w:rsidRDefault="00002DAF" w:rsidP="00002DAF">
      <w:pPr>
        <w:pStyle w:val="corte5transcripcion"/>
      </w:pPr>
    </w:p>
    <w:p w:rsidR="000E713B" w:rsidRPr="000E713B" w:rsidRDefault="000E713B" w:rsidP="00002DAF">
      <w:pPr>
        <w:pStyle w:val="corte5transcripcion"/>
      </w:pPr>
      <w:r w:rsidRPr="000E713B">
        <w:t>(…)</w:t>
      </w:r>
    </w:p>
    <w:p w:rsidR="00002DAF" w:rsidRDefault="00002DAF" w:rsidP="00002DAF">
      <w:pPr>
        <w:pStyle w:val="corte5transcripcion"/>
      </w:pPr>
    </w:p>
    <w:p w:rsidR="000E713B" w:rsidRPr="000E713B" w:rsidRDefault="000E713B" w:rsidP="00002DAF">
      <w:pPr>
        <w:pStyle w:val="corte5transcripcion"/>
      </w:pPr>
      <w:r w:rsidRPr="000E713B">
        <w:t>C. Esta Constitución reconoce a los pueblos y comunidades afromexicanas, cualquiera que sea su autodenominación, como parte de la composición pluricultural de la Nación. Tendrán en lo conducente los derechos señalados en los apartados anteriores del presente artículo en los términos que establezcan las leyes, a fin de garantizar su libre determinación, autonomía, desarrollo e inclusión social.</w:t>
      </w:r>
    </w:p>
    <w:p w:rsidR="000E713B" w:rsidRPr="000E713B" w:rsidRDefault="00731B2A" w:rsidP="00002DAF">
      <w:pPr>
        <w:pStyle w:val="corte5transcripcion"/>
      </w:pPr>
      <w:r>
        <w:t>(…)</w:t>
      </w:r>
      <w:r w:rsidR="000E713B" w:rsidRPr="000E713B">
        <w:t>.</w:t>
      </w:r>
    </w:p>
    <w:p w:rsidR="000E713B" w:rsidRPr="000E713B" w:rsidRDefault="000E713B" w:rsidP="000E713B">
      <w:pPr>
        <w:rPr>
          <w:rFonts w:cs="Arial"/>
          <w:szCs w:val="28"/>
        </w:rPr>
      </w:pPr>
    </w:p>
    <w:p w:rsidR="000E713B" w:rsidRPr="000E713B" w:rsidRDefault="000E713B" w:rsidP="000E713B">
      <w:pPr>
        <w:rPr>
          <w:rFonts w:cs="Arial"/>
          <w:szCs w:val="28"/>
        </w:rPr>
      </w:pPr>
      <w:r w:rsidRPr="000E713B">
        <w:rPr>
          <w:rFonts w:cs="Arial"/>
          <w:szCs w:val="28"/>
        </w:rPr>
        <w:t>Como puede</w:t>
      </w:r>
      <w:r w:rsidR="00731B2A">
        <w:rPr>
          <w:rFonts w:cs="Arial"/>
          <w:szCs w:val="28"/>
        </w:rPr>
        <w:t xml:space="preserve"> advertirse de la transcripción</w:t>
      </w:r>
      <w:r w:rsidRPr="000E713B">
        <w:rPr>
          <w:rFonts w:cs="Arial"/>
          <w:szCs w:val="28"/>
        </w:rPr>
        <w:t xml:space="preserve">, el texto constitucional vigente </w:t>
      </w:r>
      <w:r w:rsidR="00731B2A">
        <w:rPr>
          <w:rFonts w:cs="Arial"/>
          <w:szCs w:val="28"/>
        </w:rPr>
        <w:t>es acorde</w:t>
      </w:r>
      <w:r w:rsidRPr="000E713B">
        <w:rPr>
          <w:rFonts w:cs="Arial"/>
          <w:szCs w:val="28"/>
        </w:rPr>
        <w:t xml:space="preserve"> con la evolución normativa y jurisprudencial en favor de la protección de los derechos de interculturalidad de los pueblos y comunidades indígenas y afromexicanas de México y, en particular, </w:t>
      </w:r>
      <w:r w:rsidR="00731B2A">
        <w:rPr>
          <w:rFonts w:cs="Arial"/>
          <w:szCs w:val="28"/>
        </w:rPr>
        <w:t>con</w:t>
      </w:r>
      <w:r w:rsidRPr="000E713B">
        <w:rPr>
          <w:rFonts w:cs="Arial"/>
          <w:szCs w:val="28"/>
        </w:rPr>
        <w:t xml:space="preserve"> la necesidad de consultarlos en todo momento en que una medida legislativa o de autoridad sea susceptible de afectarles directamente.</w:t>
      </w:r>
    </w:p>
    <w:p w:rsidR="000E713B" w:rsidRPr="000E713B" w:rsidRDefault="000E713B" w:rsidP="000E713B">
      <w:pPr>
        <w:rPr>
          <w:rFonts w:cs="Arial"/>
          <w:szCs w:val="28"/>
        </w:rPr>
      </w:pPr>
    </w:p>
    <w:p w:rsidR="000E713B" w:rsidRPr="000E713B" w:rsidRDefault="000E713B" w:rsidP="000E713B">
      <w:pPr>
        <w:rPr>
          <w:rFonts w:cs="Arial"/>
          <w:szCs w:val="28"/>
        </w:rPr>
      </w:pPr>
      <w:r w:rsidRPr="000E713B">
        <w:rPr>
          <w:rFonts w:cs="Arial"/>
          <w:szCs w:val="28"/>
        </w:rPr>
        <w:t>Específicamente, en el primer párrafo del apartado B</w:t>
      </w:r>
      <w:r w:rsidR="00731B2A">
        <w:rPr>
          <w:rFonts w:cs="Arial"/>
          <w:szCs w:val="28"/>
        </w:rPr>
        <w:t xml:space="preserve"> es impuesta</w:t>
      </w:r>
      <w:r w:rsidRPr="000E713B">
        <w:rPr>
          <w:rFonts w:cs="Arial"/>
          <w:szCs w:val="28"/>
        </w:rPr>
        <w:t xml:space="preserve"> la obligación de la Federación, los Estados y los Municipios, de eliminar cualquier práctica discriminatoria, establecer las instituciones y las políticas necesarias a fin de garantizar la vigencia de los derechos de las personas indígenas y afromexicanas y el desarrollo integral de sus pueblos y comunidades, las cuales deberán ser diseñadas y operadas conjuntamente con ellos.</w:t>
      </w:r>
    </w:p>
    <w:p w:rsidR="000E713B" w:rsidRPr="000E713B" w:rsidRDefault="000E713B" w:rsidP="000E713B">
      <w:pPr>
        <w:rPr>
          <w:rFonts w:cs="Arial"/>
          <w:szCs w:val="28"/>
        </w:rPr>
      </w:pPr>
    </w:p>
    <w:p w:rsidR="000E713B" w:rsidRPr="000E713B" w:rsidRDefault="000E713B" w:rsidP="000E713B">
      <w:pPr>
        <w:rPr>
          <w:rFonts w:cs="Arial"/>
          <w:szCs w:val="28"/>
        </w:rPr>
      </w:pPr>
      <w:r w:rsidRPr="000E713B">
        <w:rPr>
          <w:rFonts w:cs="Arial"/>
          <w:szCs w:val="28"/>
        </w:rPr>
        <w:t>Además, este derecho se puede extraer del principio de autodeterminación previsto en el artículo 2°, apartado A, fracciones I y II, de la Constitución, que faculta a los pueblos y comunidades indígenas y afromexicanas para decidir sus formas internas de convivencia y organización social, económica, política y cultural.</w:t>
      </w:r>
    </w:p>
    <w:p w:rsidR="000E713B" w:rsidRPr="000E713B" w:rsidRDefault="000E713B" w:rsidP="000E713B">
      <w:pPr>
        <w:rPr>
          <w:rFonts w:cs="Arial"/>
          <w:szCs w:val="28"/>
        </w:rPr>
      </w:pPr>
    </w:p>
    <w:p w:rsidR="000E713B" w:rsidRPr="000E713B" w:rsidRDefault="000E713B" w:rsidP="000E713B">
      <w:pPr>
        <w:rPr>
          <w:rFonts w:cs="Arial"/>
          <w:szCs w:val="28"/>
        </w:rPr>
      </w:pPr>
      <w:r w:rsidRPr="000E713B">
        <w:rPr>
          <w:rFonts w:cs="Arial"/>
          <w:szCs w:val="28"/>
        </w:rPr>
        <w:t>En efecto, en el artículo 2</w:t>
      </w:r>
      <w:r w:rsidR="00731B2A">
        <w:rPr>
          <w:rFonts w:cs="Arial"/>
          <w:szCs w:val="28"/>
        </w:rPr>
        <w:t>º</w:t>
      </w:r>
      <w:r w:rsidRPr="000E713B">
        <w:rPr>
          <w:rFonts w:cs="Arial"/>
          <w:szCs w:val="28"/>
        </w:rPr>
        <w:t xml:space="preserve"> de la Constitución General se protege el derecho de los pueblos y comunidades indígenas y afromexica</w:t>
      </w:r>
      <w:r w:rsidR="006E41E8">
        <w:rPr>
          <w:rFonts w:cs="Arial"/>
          <w:szCs w:val="28"/>
        </w:rPr>
        <w:t>nas de autodeterminación y autogobierno.</w:t>
      </w:r>
      <w:r w:rsidRPr="000E713B">
        <w:rPr>
          <w:rFonts w:cs="Arial"/>
          <w:szCs w:val="28"/>
        </w:rPr>
        <w:t xml:space="preserve"> En este sentido, la autodeterminación es </w:t>
      </w:r>
      <w:r w:rsidRPr="006E41E8">
        <w:rPr>
          <w:rFonts w:cs="Arial"/>
          <w:i/>
          <w:szCs w:val="28"/>
        </w:rPr>
        <w:t>“un conjunto de normas de derechos humanos que se predican genéricamente de los pueblos, incluidos los pueblos indígenas, y que se basan en la idea de que todos los sectores de la humanidad tienen el mismo derecho</w:t>
      </w:r>
      <w:r w:rsidR="00EB43DE">
        <w:rPr>
          <w:rFonts w:cs="Arial"/>
          <w:i/>
          <w:szCs w:val="28"/>
        </w:rPr>
        <w:t xml:space="preserve"> a controlar su propio destino”</w:t>
      </w:r>
      <w:r w:rsidR="006E41E8" w:rsidRPr="006E41E8">
        <w:rPr>
          <w:rStyle w:val="Refdenotaalpie"/>
          <w:rFonts w:cs="Arial"/>
          <w:i/>
          <w:szCs w:val="28"/>
        </w:rPr>
        <w:footnoteReference w:id="31"/>
      </w:r>
      <w:r w:rsidRPr="000E713B">
        <w:rPr>
          <w:rFonts w:cs="Arial"/>
          <w:szCs w:val="28"/>
        </w:rPr>
        <w:t>.</w:t>
      </w:r>
    </w:p>
    <w:p w:rsidR="000E713B" w:rsidRPr="000E713B" w:rsidRDefault="000E713B" w:rsidP="000E713B">
      <w:pPr>
        <w:rPr>
          <w:rFonts w:cs="Arial"/>
          <w:szCs w:val="28"/>
        </w:rPr>
      </w:pPr>
    </w:p>
    <w:p w:rsidR="000E713B" w:rsidRPr="000E713B" w:rsidRDefault="006E41E8" w:rsidP="000E713B">
      <w:pPr>
        <w:rPr>
          <w:rFonts w:cs="Arial"/>
          <w:szCs w:val="28"/>
        </w:rPr>
      </w:pPr>
      <w:r>
        <w:rPr>
          <w:rFonts w:cs="Arial"/>
          <w:szCs w:val="28"/>
        </w:rPr>
        <w:t xml:space="preserve">Esta facultad de autogobierno o auto </w:t>
      </w:r>
      <w:r w:rsidR="000E713B" w:rsidRPr="000E713B">
        <w:rPr>
          <w:rFonts w:cs="Arial"/>
          <w:szCs w:val="28"/>
        </w:rPr>
        <w:t>organización constituye la principal dimensión del principio de</w:t>
      </w:r>
      <w:r>
        <w:rPr>
          <w:rFonts w:cs="Arial"/>
          <w:szCs w:val="28"/>
        </w:rPr>
        <w:t xml:space="preserve"> autodeterminación</w:t>
      </w:r>
      <w:r w:rsidR="000E713B" w:rsidRPr="000E713B">
        <w:rPr>
          <w:rFonts w:cs="Arial"/>
          <w:szCs w:val="28"/>
        </w:rPr>
        <w:t xml:space="preserve"> y consiste en la idea de que los sistemas políticos deben funcionar de acuerdo con los de</w:t>
      </w:r>
      <w:r>
        <w:rPr>
          <w:rFonts w:cs="Arial"/>
          <w:szCs w:val="28"/>
        </w:rPr>
        <w:t>seos de las personas gobernadas</w:t>
      </w:r>
      <w:r>
        <w:rPr>
          <w:rStyle w:val="Refdenotaalpie"/>
          <w:rFonts w:cs="Arial"/>
          <w:szCs w:val="28"/>
        </w:rPr>
        <w:footnoteReference w:id="32"/>
      </w:r>
      <w:r w:rsidR="000E713B" w:rsidRPr="000E713B">
        <w:rPr>
          <w:rFonts w:cs="Arial"/>
          <w:szCs w:val="28"/>
        </w:rPr>
        <w:t>.</w:t>
      </w:r>
    </w:p>
    <w:p w:rsidR="000E713B" w:rsidRPr="000E713B" w:rsidRDefault="000E713B" w:rsidP="000E713B">
      <w:pPr>
        <w:rPr>
          <w:rFonts w:cs="Arial"/>
          <w:szCs w:val="28"/>
        </w:rPr>
      </w:pPr>
    </w:p>
    <w:p w:rsidR="006E41E8" w:rsidRDefault="006E41E8" w:rsidP="000E713B">
      <w:pPr>
        <w:rPr>
          <w:rFonts w:cs="Arial"/>
          <w:szCs w:val="28"/>
        </w:rPr>
      </w:pPr>
      <w:r>
        <w:rPr>
          <w:rFonts w:cs="Arial"/>
          <w:szCs w:val="28"/>
        </w:rPr>
        <w:t>Al respecto</w:t>
      </w:r>
      <w:r w:rsidR="000E713B" w:rsidRPr="000E713B">
        <w:rPr>
          <w:rFonts w:cs="Arial"/>
          <w:szCs w:val="28"/>
        </w:rPr>
        <w:t xml:space="preserve">, el derecho a la consulta </w:t>
      </w:r>
      <w:r>
        <w:rPr>
          <w:rFonts w:cs="Arial"/>
          <w:szCs w:val="28"/>
        </w:rPr>
        <w:t>está</w:t>
      </w:r>
      <w:r w:rsidR="000E713B" w:rsidRPr="000E713B">
        <w:rPr>
          <w:rFonts w:cs="Arial"/>
          <w:szCs w:val="28"/>
        </w:rPr>
        <w:t xml:space="preserve"> íntimamente ligado con los derechos de participación política y autogobierno de los pueblos y comunidades indígenas y afromexicanas y sus integrantes.</w:t>
      </w:r>
      <w:r>
        <w:rPr>
          <w:rFonts w:cs="Arial"/>
          <w:szCs w:val="28"/>
        </w:rPr>
        <w:t xml:space="preserve"> E</w:t>
      </w:r>
      <w:r w:rsidR="000E713B" w:rsidRPr="000E713B">
        <w:rPr>
          <w:rFonts w:cs="Arial"/>
          <w:szCs w:val="28"/>
        </w:rPr>
        <w:t xml:space="preserve">n </w:t>
      </w:r>
      <w:r>
        <w:rPr>
          <w:rFonts w:cs="Arial"/>
          <w:szCs w:val="28"/>
        </w:rPr>
        <w:t xml:space="preserve">ese sentido, en </w:t>
      </w:r>
      <w:r w:rsidR="000E713B" w:rsidRPr="000E713B">
        <w:rPr>
          <w:rFonts w:cs="Arial"/>
          <w:szCs w:val="28"/>
        </w:rPr>
        <w:t xml:space="preserve">el artículo 35 </w:t>
      </w:r>
      <w:r>
        <w:rPr>
          <w:rFonts w:cs="Arial"/>
          <w:szCs w:val="28"/>
        </w:rPr>
        <w:t>constitucional está establecido</w:t>
      </w:r>
      <w:r w:rsidR="000E713B" w:rsidRPr="000E713B">
        <w:rPr>
          <w:rFonts w:cs="Arial"/>
          <w:szCs w:val="28"/>
        </w:rPr>
        <w:t xml:space="preserve"> el derecho de </w:t>
      </w:r>
      <w:r>
        <w:rPr>
          <w:rFonts w:cs="Arial"/>
          <w:szCs w:val="28"/>
        </w:rPr>
        <w:t>todo ciudadano de votar y ser votado</w:t>
      </w:r>
      <w:r w:rsidR="000E713B" w:rsidRPr="000E713B">
        <w:rPr>
          <w:rFonts w:cs="Arial"/>
          <w:szCs w:val="28"/>
        </w:rPr>
        <w:t xml:space="preserve"> en la</w:t>
      </w:r>
      <w:r>
        <w:rPr>
          <w:rFonts w:cs="Arial"/>
          <w:szCs w:val="28"/>
        </w:rPr>
        <w:t>s elecciones populares</w:t>
      </w:r>
      <w:r w:rsidR="000E713B" w:rsidRPr="000E713B">
        <w:rPr>
          <w:rFonts w:cs="Arial"/>
          <w:szCs w:val="28"/>
        </w:rPr>
        <w:t xml:space="preserve"> y de asociarse para tomar parte en los asuntos políticos del país.  </w:t>
      </w:r>
    </w:p>
    <w:p w:rsidR="006E41E8" w:rsidRDefault="006E41E8" w:rsidP="000E713B">
      <w:pPr>
        <w:rPr>
          <w:rFonts w:cs="Arial"/>
          <w:szCs w:val="28"/>
        </w:rPr>
      </w:pPr>
    </w:p>
    <w:p w:rsidR="000E713B" w:rsidRPr="000E713B" w:rsidRDefault="000E713B" w:rsidP="000E713B">
      <w:pPr>
        <w:rPr>
          <w:rFonts w:cs="Arial"/>
          <w:szCs w:val="28"/>
        </w:rPr>
      </w:pPr>
      <w:r w:rsidRPr="000E713B">
        <w:rPr>
          <w:rFonts w:cs="Arial"/>
          <w:szCs w:val="28"/>
        </w:rPr>
        <w:t>En consecuencia, la ciudadanía que integra los pueblos y comunidades indígenas y afromexicanas del país tiene derecho a participar en la toma de decisiones de relevancia pública y, sobre todo, en aquellas que sean susceptibles de afectarles directamente.</w:t>
      </w:r>
    </w:p>
    <w:p w:rsidR="000E713B" w:rsidRPr="000E713B" w:rsidRDefault="000E713B" w:rsidP="000E713B">
      <w:pPr>
        <w:rPr>
          <w:rFonts w:cs="Arial"/>
          <w:szCs w:val="28"/>
        </w:rPr>
      </w:pPr>
    </w:p>
    <w:p w:rsidR="000E713B" w:rsidRPr="000E713B" w:rsidRDefault="000E713B" w:rsidP="000E713B">
      <w:pPr>
        <w:rPr>
          <w:rFonts w:cs="Arial"/>
          <w:szCs w:val="28"/>
        </w:rPr>
      </w:pPr>
      <w:r w:rsidRPr="000E713B">
        <w:rPr>
          <w:rFonts w:cs="Arial"/>
          <w:szCs w:val="28"/>
        </w:rPr>
        <w:t xml:space="preserve">A partir de estos principios, en la Constitución General </w:t>
      </w:r>
      <w:r w:rsidR="006E41E8">
        <w:rPr>
          <w:rFonts w:cs="Arial"/>
          <w:szCs w:val="28"/>
        </w:rPr>
        <w:t xml:space="preserve">están implícitos </w:t>
      </w:r>
      <w:r w:rsidRPr="000E713B">
        <w:rPr>
          <w:rFonts w:cs="Arial"/>
          <w:szCs w:val="28"/>
        </w:rPr>
        <w:t>otros derechos y características propias de la tutela de derechos con una perspectiva intercultural. Por ejemplo, tienen la facultad de elegir a sus autoridades conforme a sus normas, procedimientos y prácticas tradicionales, así como el ejercicio de sus formas propias de convivencia y organización social, económica, política y cultural, lo que incluye, por supuesto, el derecho a la consulta.</w:t>
      </w:r>
    </w:p>
    <w:p w:rsidR="000E713B" w:rsidRPr="000E713B" w:rsidRDefault="000E713B" w:rsidP="000E713B">
      <w:pPr>
        <w:rPr>
          <w:rFonts w:cs="Arial"/>
          <w:szCs w:val="28"/>
        </w:rPr>
      </w:pPr>
    </w:p>
    <w:p w:rsidR="000E713B" w:rsidRPr="000E713B" w:rsidRDefault="006E41E8" w:rsidP="000E713B">
      <w:pPr>
        <w:rPr>
          <w:rFonts w:cs="Arial"/>
          <w:szCs w:val="28"/>
        </w:rPr>
      </w:pPr>
      <w:r>
        <w:rPr>
          <w:rFonts w:cs="Arial"/>
          <w:szCs w:val="28"/>
        </w:rPr>
        <w:t xml:space="preserve">En ese sentido, este Tribunal </w:t>
      </w:r>
      <w:r w:rsidR="000E713B" w:rsidRPr="000E713B">
        <w:rPr>
          <w:rFonts w:cs="Arial"/>
          <w:szCs w:val="28"/>
        </w:rPr>
        <w:t xml:space="preserve">Pleno —en los precedentes referidos— y la Corte Interamericana de Derechos Humanos han sostenido que las autoridades están obligadas a consultar a los pueblos y comunidades indígenas y afromexicanas antes de </w:t>
      </w:r>
      <w:r>
        <w:rPr>
          <w:rFonts w:cs="Arial"/>
          <w:szCs w:val="28"/>
        </w:rPr>
        <w:t>tomar</w:t>
      </w:r>
      <w:r w:rsidR="000E713B" w:rsidRPr="000E713B">
        <w:rPr>
          <w:rFonts w:cs="Arial"/>
          <w:szCs w:val="28"/>
        </w:rPr>
        <w:t xml:space="preserve"> alguna acción o </w:t>
      </w:r>
      <w:r>
        <w:rPr>
          <w:rFonts w:cs="Arial"/>
          <w:szCs w:val="28"/>
        </w:rPr>
        <w:t xml:space="preserve">implementar una </w:t>
      </w:r>
      <w:r w:rsidR="000E713B" w:rsidRPr="000E713B">
        <w:rPr>
          <w:rFonts w:cs="Arial"/>
          <w:szCs w:val="28"/>
        </w:rPr>
        <w:t xml:space="preserve">medida susceptible de afectar sus derechos e intereses. </w:t>
      </w:r>
    </w:p>
    <w:p w:rsidR="000E713B" w:rsidRPr="000E713B" w:rsidRDefault="000E713B" w:rsidP="000E713B">
      <w:pPr>
        <w:rPr>
          <w:rFonts w:cs="Arial"/>
          <w:szCs w:val="28"/>
        </w:rPr>
      </w:pPr>
    </w:p>
    <w:p w:rsidR="000E713B" w:rsidRPr="000E713B" w:rsidRDefault="000E713B" w:rsidP="000E713B">
      <w:pPr>
        <w:rPr>
          <w:rFonts w:cs="Arial"/>
          <w:szCs w:val="28"/>
        </w:rPr>
      </w:pPr>
      <w:r w:rsidRPr="000E713B">
        <w:rPr>
          <w:rFonts w:cs="Arial"/>
          <w:szCs w:val="28"/>
        </w:rPr>
        <w:t>De esta forma, los pueblos indígenas y afromexicanos tienen el d</w:t>
      </w:r>
      <w:r w:rsidR="006E41E8">
        <w:rPr>
          <w:rFonts w:cs="Arial"/>
          <w:szCs w:val="28"/>
        </w:rPr>
        <w:t>erecho humano a ser consultados</w:t>
      </w:r>
      <w:r w:rsidRPr="000E713B">
        <w:rPr>
          <w:rFonts w:cs="Arial"/>
          <w:szCs w:val="28"/>
        </w:rPr>
        <w:t xml:space="preserve"> mediante procedimientos culturalmente adecuados, informados y de buena fe con la finalidad de llegar a un acuerdo a través de sus representantes, cada vez que se prevean medidas legislativas susceptibles de afectarles direct</w:t>
      </w:r>
      <w:r w:rsidR="00BC1176">
        <w:rPr>
          <w:rFonts w:cs="Arial"/>
          <w:szCs w:val="28"/>
        </w:rPr>
        <w:t>amente, conforme a lo siguiente</w:t>
      </w:r>
      <w:r w:rsidR="008D1E36">
        <w:rPr>
          <w:rFonts w:cs="Arial"/>
          <w:szCs w:val="28"/>
        </w:rPr>
        <w:t>:</w:t>
      </w:r>
    </w:p>
    <w:p w:rsidR="000E713B" w:rsidRPr="000E713B" w:rsidRDefault="000E713B" w:rsidP="000E713B">
      <w:pPr>
        <w:rPr>
          <w:rFonts w:cs="Arial"/>
          <w:szCs w:val="28"/>
        </w:rPr>
      </w:pPr>
    </w:p>
    <w:p w:rsidR="000E713B" w:rsidRPr="000E713B" w:rsidRDefault="00BC1176" w:rsidP="000E713B">
      <w:pPr>
        <w:rPr>
          <w:rFonts w:cs="Arial"/>
          <w:szCs w:val="28"/>
        </w:rPr>
      </w:pPr>
      <w:r>
        <w:rPr>
          <w:rFonts w:cs="Arial"/>
          <w:szCs w:val="28"/>
        </w:rPr>
        <w:t>―</w:t>
      </w:r>
      <w:r w:rsidR="000E713B" w:rsidRPr="000E713B">
        <w:rPr>
          <w:rFonts w:cs="Arial"/>
          <w:szCs w:val="28"/>
        </w:rPr>
        <w:t>La consulta debe ser previa. Debe realizarse durante las primeras etapas del plan o proyecto de desarrollo o inversión o de la concesión extractiva y no únicamente cuando surja la necesidad de obtener la aprobación de la comunidad.</w:t>
      </w:r>
    </w:p>
    <w:p w:rsidR="000E713B" w:rsidRPr="000E713B" w:rsidRDefault="000E713B" w:rsidP="000E713B">
      <w:pPr>
        <w:rPr>
          <w:rFonts w:cs="Arial"/>
          <w:szCs w:val="28"/>
        </w:rPr>
      </w:pPr>
    </w:p>
    <w:p w:rsidR="000E713B" w:rsidRPr="000E713B" w:rsidRDefault="00BC1176" w:rsidP="000E713B">
      <w:pPr>
        <w:rPr>
          <w:rFonts w:cs="Arial"/>
          <w:szCs w:val="28"/>
        </w:rPr>
      </w:pPr>
      <w:r>
        <w:rPr>
          <w:rFonts w:cs="Arial"/>
          <w:szCs w:val="28"/>
        </w:rPr>
        <w:t>―</w:t>
      </w:r>
      <w:r w:rsidR="000E713B" w:rsidRPr="000E713B">
        <w:rPr>
          <w:rFonts w:cs="Arial"/>
          <w:szCs w:val="28"/>
        </w:rPr>
        <w:t xml:space="preserve">La consulta debe ser culturalmente adecuada. El deber estatal de consultar a los pueblos indígenas y afromexicanos debe cumplirse de acuerdo con sus costumbres y tradiciones, a través de procedimientos culturalmente adecuados y teniendo en cuenta sus métodos tradicionales para la toma de decisiones. </w:t>
      </w:r>
      <w:r>
        <w:rPr>
          <w:rFonts w:cs="Arial"/>
          <w:szCs w:val="28"/>
        </w:rPr>
        <w:t>Ello implica</w:t>
      </w:r>
      <w:r w:rsidR="000E713B" w:rsidRPr="000E713B">
        <w:rPr>
          <w:rFonts w:cs="Arial"/>
          <w:szCs w:val="28"/>
        </w:rPr>
        <w:t xml:space="preserve"> que la representación de los pueblos sea definida de conformidad con sus propias tradiciones.</w:t>
      </w:r>
    </w:p>
    <w:p w:rsidR="000E713B" w:rsidRPr="000E713B" w:rsidRDefault="000E713B" w:rsidP="000E713B">
      <w:pPr>
        <w:rPr>
          <w:rFonts w:cs="Arial"/>
          <w:szCs w:val="28"/>
        </w:rPr>
      </w:pPr>
    </w:p>
    <w:p w:rsidR="000E713B" w:rsidRPr="000E713B" w:rsidRDefault="00BC1176" w:rsidP="000E713B">
      <w:pPr>
        <w:rPr>
          <w:rFonts w:cs="Arial"/>
          <w:szCs w:val="28"/>
        </w:rPr>
      </w:pPr>
      <w:r>
        <w:rPr>
          <w:rFonts w:cs="Arial"/>
          <w:szCs w:val="28"/>
        </w:rPr>
        <w:t>Sobre este punto</w:t>
      </w:r>
      <w:r w:rsidR="000E713B" w:rsidRPr="000E713B">
        <w:rPr>
          <w:rFonts w:cs="Arial"/>
          <w:szCs w:val="28"/>
        </w:rPr>
        <w:t xml:space="preserve"> la Corte Interamericana d</w:t>
      </w:r>
      <w:r>
        <w:rPr>
          <w:rFonts w:cs="Arial"/>
          <w:szCs w:val="28"/>
        </w:rPr>
        <w:t>e Derechos Humanos ha sostenido</w:t>
      </w:r>
      <w:r>
        <w:rPr>
          <w:rStyle w:val="Refdenotaalpie"/>
          <w:rFonts w:cs="Arial"/>
          <w:szCs w:val="28"/>
        </w:rPr>
        <w:footnoteReference w:id="33"/>
      </w:r>
      <w:r w:rsidR="000E713B" w:rsidRPr="000E713B">
        <w:rPr>
          <w:rFonts w:cs="Arial"/>
          <w:szCs w:val="28"/>
        </w:rPr>
        <w:t xml:space="preserve"> que las consultas a pueblos indígenas deben realizarse a través de procedimientos culturalmente adecuados, es decir, en conformidad con sus propias tradiciones y a través de sus instituciones representativas. Para ello debe analizarse el contexto cultural de las comunidades</w:t>
      </w:r>
      <w:r>
        <w:rPr>
          <w:rFonts w:cs="Arial"/>
          <w:szCs w:val="28"/>
        </w:rPr>
        <w:t xml:space="preserve"> mediante el empleo de</w:t>
      </w:r>
      <w:r w:rsidR="000E713B" w:rsidRPr="000E713B">
        <w:rPr>
          <w:rFonts w:cs="Arial"/>
          <w:szCs w:val="28"/>
        </w:rPr>
        <w:t xml:space="preserve"> diversos mecanismos como pueden ser, por ejemplo, las visitas o estudios periciales en materia antropológica.  </w:t>
      </w:r>
    </w:p>
    <w:p w:rsidR="000E713B" w:rsidRPr="000E713B" w:rsidRDefault="000E713B" w:rsidP="000E713B">
      <w:pPr>
        <w:rPr>
          <w:rFonts w:cs="Arial"/>
          <w:szCs w:val="28"/>
        </w:rPr>
      </w:pPr>
    </w:p>
    <w:p w:rsidR="000E713B" w:rsidRPr="000E713B" w:rsidRDefault="00BC1176" w:rsidP="000E713B">
      <w:pPr>
        <w:rPr>
          <w:rFonts w:cs="Arial"/>
          <w:szCs w:val="28"/>
        </w:rPr>
      </w:pPr>
      <w:r>
        <w:rPr>
          <w:rFonts w:cs="Arial"/>
          <w:szCs w:val="28"/>
        </w:rPr>
        <w:t>Además, p</w:t>
      </w:r>
      <w:r w:rsidR="000E713B" w:rsidRPr="000E713B">
        <w:rPr>
          <w:rFonts w:cs="Arial"/>
          <w:szCs w:val="28"/>
        </w:rPr>
        <w:t>ara que una consulta indíg</w:t>
      </w:r>
      <w:r>
        <w:rPr>
          <w:rFonts w:cs="Arial"/>
          <w:szCs w:val="28"/>
        </w:rPr>
        <w:t xml:space="preserve">ena sea culturalmente adecuada </w:t>
      </w:r>
      <w:r w:rsidR="000E713B" w:rsidRPr="000E713B">
        <w:rPr>
          <w:rFonts w:cs="Arial"/>
          <w:szCs w:val="28"/>
        </w:rPr>
        <w:t xml:space="preserve">es necesario </w:t>
      </w:r>
      <w:r>
        <w:rPr>
          <w:rFonts w:cs="Arial"/>
          <w:szCs w:val="28"/>
        </w:rPr>
        <w:t>respetar</w:t>
      </w:r>
      <w:r w:rsidR="000E713B" w:rsidRPr="000E713B">
        <w:rPr>
          <w:rFonts w:cs="Arial"/>
          <w:szCs w:val="28"/>
        </w:rPr>
        <w:t xml:space="preserve"> el derecho de los pueblos y comunidades indígenas </w:t>
      </w:r>
      <w:r>
        <w:rPr>
          <w:rFonts w:cs="Arial"/>
          <w:szCs w:val="28"/>
        </w:rPr>
        <w:t xml:space="preserve">y afromexicanas </w:t>
      </w:r>
      <w:r w:rsidR="000E713B" w:rsidRPr="000E713B">
        <w:rPr>
          <w:rFonts w:cs="Arial"/>
          <w:szCs w:val="28"/>
        </w:rPr>
        <w:t>a la no asimilación cultural, consistente en que se reconozca y respete la cultura, historia, idioma y modo de vida como un factor de enriquecimiento de la identidad cultural del Estado</w:t>
      </w:r>
      <w:r w:rsidR="00AC0385">
        <w:rPr>
          <w:rFonts w:cs="Arial"/>
          <w:szCs w:val="28"/>
        </w:rPr>
        <w:t xml:space="preserve"> y se garantice su preservación</w:t>
      </w:r>
      <w:r w:rsidR="00AC0385">
        <w:rPr>
          <w:rStyle w:val="Refdenotaalpie"/>
          <w:rFonts w:cs="Arial"/>
          <w:szCs w:val="28"/>
        </w:rPr>
        <w:footnoteReference w:id="34"/>
      </w:r>
      <w:r w:rsidR="000E713B" w:rsidRPr="000E713B">
        <w:rPr>
          <w:rFonts w:cs="Arial"/>
          <w:szCs w:val="28"/>
        </w:rPr>
        <w:t>.</w:t>
      </w:r>
    </w:p>
    <w:p w:rsidR="000E713B" w:rsidRPr="000E713B" w:rsidRDefault="000E713B" w:rsidP="000E713B">
      <w:pPr>
        <w:rPr>
          <w:rFonts w:cs="Arial"/>
          <w:szCs w:val="28"/>
        </w:rPr>
      </w:pPr>
    </w:p>
    <w:p w:rsidR="000E713B" w:rsidRPr="000E713B" w:rsidRDefault="000E713B" w:rsidP="000E713B">
      <w:pPr>
        <w:rPr>
          <w:rFonts w:cs="Arial"/>
          <w:szCs w:val="28"/>
        </w:rPr>
      </w:pPr>
      <w:r w:rsidRPr="000E713B">
        <w:rPr>
          <w:rFonts w:cs="Arial"/>
          <w:szCs w:val="28"/>
        </w:rPr>
        <w:t xml:space="preserve">Asimismo, se deben tomar las medidas necesarias para garantizar que los miembros de los pueblos puedan comprender y hacerse comprender en procedimientos legales, </w:t>
      </w:r>
      <w:r w:rsidR="00AC0385">
        <w:rPr>
          <w:rFonts w:cs="Arial"/>
          <w:szCs w:val="28"/>
        </w:rPr>
        <w:t>con el apoyo de</w:t>
      </w:r>
      <w:r w:rsidRPr="000E713B">
        <w:rPr>
          <w:rFonts w:cs="Arial"/>
          <w:szCs w:val="28"/>
        </w:rPr>
        <w:t xml:space="preserve"> traductores si es necesario.</w:t>
      </w:r>
    </w:p>
    <w:p w:rsidR="000E713B" w:rsidRPr="000E713B" w:rsidRDefault="000E713B" w:rsidP="000E713B">
      <w:pPr>
        <w:rPr>
          <w:rFonts w:cs="Arial"/>
          <w:szCs w:val="28"/>
        </w:rPr>
      </w:pPr>
    </w:p>
    <w:p w:rsidR="000E713B" w:rsidRPr="000E713B" w:rsidRDefault="00AC0385" w:rsidP="000E713B">
      <w:pPr>
        <w:rPr>
          <w:rFonts w:cs="Arial"/>
          <w:szCs w:val="28"/>
        </w:rPr>
      </w:pPr>
      <w:r>
        <w:rPr>
          <w:rFonts w:cs="Arial"/>
          <w:szCs w:val="28"/>
        </w:rPr>
        <w:t>―</w:t>
      </w:r>
      <w:r w:rsidR="000E713B" w:rsidRPr="000E713B">
        <w:rPr>
          <w:rFonts w:cs="Arial"/>
          <w:szCs w:val="28"/>
        </w:rPr>
        <w:t xml:space="preserve">La consulta </w:t>
      </w:r>
      <w:r>
        <w:rPr>
          <w:rFonts w:cs="Arial"/>
          <w:szCs w:val="28"/>
        </w:rPr>
        <w:t xml:space="preserve">debe ser </w:t>
      </w:r>
      <w:r w:rsidR="000E713B" w:rsidRPr="000E713B">
        <w:rPr>
          <w:rFonts w:cs="Arial"/>
          <w:szCs w:val="28"/>
        </w:rPr>
        <w:t>informada. Los procesos de otorgamiento exigen la provisión plena de información precisa sobre la naturaleza y consecuencias del proyecto a las comunidades consultadas, previo y durante la consulta. Debe buscarse que tengan conocimiento de los posibles riesgos, incluidos los riesgos ambientales y de salubridad, a fin de que acepten el plan de desarrollo o inversión propuesto de forma voluntaria.</w:t>
      </w:r>
    </w:p>
    <w:p w:rsidR="000E713B" w:rsidRPr="000E713B" w:rsidRDefault="000E713B" w:rsidP="000E713B">
      <w:pPr>
        <w:rPr>
          <w:rFonts w:cs="Arial"/>
          <w:szCs w:val="28"/>
        </w:rPr>
      </w:pPr>
    </w:p>
    <w:p w:rsidR="000E713B" w:rsidRPr="000E713B" w:rsidRDefault="00AC0385" w:rsidP="000E713B">
      <w:pPr>
        <w:rPr>
          <w:rFonts w:cs="Arial"/>
          <w:szCs w:val="28"/>
        </w:rPr>
      </w:pPr>
      <w:r>
        <w:rPr>
          <w:rFonts w:cs="Arial"/>
          <w:szCs w:val="28"/>
        </w:rPr>
        <w:t>―</w:t>
      </w:r>
      <w:r w:rsidR="000E713B" w:rsidRPr="000E713B">
        <w:rPr>
          <w:rFonts w:cs="Arial"/>
          <w:szCs w:val="28"/>
        </w:rPr>
        <w:t>La consulta debe ser de buena fe, con la finalidad de llegar a un acuerdo. Se debe garantizar</w:t>
      </w:r>
      <w:r>
        <w:rPr>
          <w:rFonts w:cs="Arial"/>
          <w:szCs w:val="28"/>
        </w:rPr>
        <w:t xml:space="preserve"> mediante</w:t>
      </w:r>
      <w:r w:rsidR="000E713B" w:rsidRPr="000E713B">
        <w:rPr>
          <w:rFonts w:cs="Arial"/>
          <w:szCs w:val="28"/>
        </w:rPr>
        <w:t xml:space="preserve"> procedimientos claros de consulta</w:t>
      </w:r>
      <w:r w:rsidR="00DF3D90">
        <w:rPr>
          <w:rFonts w:cs="Arial"/>
          <w:szCs w:val="28"/>
        </w:rPr>
        <w:t xml:space="preserve"> la obtención del</w:t>
      </w:r>
      <w:r w:rsidR="000E713B" w:rsidRPr="000E713B">
        <w:rPr>
          <w:rFonts w:cs="Arial"/>
          <w:szCs w:val="28"/>
        </w:rPr>
        <w:t xml:space="preserve"> consentimiento previo, libre e informado para la consecución de dichos proyectos. La obligación del Estado es asegurar que todo proyecto en área indígena o </w:t>
      </w:r>
      <w:r w:rsidR="00DF3D90">
        <w:rPr>
          <w:rFonts w:cs="Arial"/>
          <w:szCs w:val="28"/>
        </w:rPr>
        <w:t>que afecte su hábitat o cultura</w:t>
      </w:r>
      <w:r w:rsidR="000E713B" w:rsidRPr="000E713B">
        <w:rPr>
          <w:rFonts w:cs="Arial"/>
          <w:szCs w:val="28"/>
        </w:rPr>
        <w:t xml:space="preserve"> sea tramitado y decidido con participación y en consulta con los pueblos interesados con vistas a obtener su consentimiento y </w:t>
      </w:r>
      <w:r w:rsidR="00DF3D90" w:rsidRPr="000E713B">
        <w:rPr>
          <w:rFonts w:cs="Arial"/>
          <w:szCs w:val="28"/>
        </w:rPr>
        <w:t xml:space="preserve">participación </w:t>
      </w:r>
      <w:r w:rsidR="000E713B" w:rsidRPr="000E713B">
        <w:rPr>
          <w:rFonts w:cs="Arial"/>
          <w:szCs w:val="28"/>
        </w:rPr>
        <w:t xml:space="preserve">eventual en los beneficios. </w:t>
      </w:r>
    </w:p>
    <w:p w:rsidR="000E713B" w:rsidRPr="000E713B" w:rsidRDefault="000E713B" w:rsidP="000E713B">
      <w:pPr>
        <w:rPr>
          <w:rFonts w:cs="Arial"/>
          <w:szCs w:val="28"/>
        </w:rPr>
      </w:pPr>
    </w:p>
    <w:p w:rsidR="000E713B" w:rsidRPr="000E713B" w:rsidRDefault="00DF3D90" w:rsidP="000E713B">
      <w:pPr>
        <w:rPr>
          <w:rFonts w:cs="Arial"/>
          <w:szCs w:val="28"/>
        </w:rPr>
      </w:pPr>
      <w:r>
        <w:rPr>
          <w:rFonts w:cs="Arial"/>
          <w:szCs w:val="28"/>
        </w:rPr>
        <w:t>Es importante enfatizar que</w:t>
      </w:r>
      <w:r w:rsidR="000E713B" w:rsidRPr="000E713B">
        <w:rPr>
          <w:rFonts w:cs="Arial"/>
          <w:szCs w:val="28"/>
        </w:rPr>
        <w:t xml:space="preserve"> para </w:t>
      </w:r>
      <w:r w:rsidR="00B37837">
        <w:rPr>
          <w:rFonts w:cs="Arial"/>
          <w:szCs w:val="28"/>
        </w:rPr>
        <w:t xml:space="preserve">considerar </w:t>
      </w:r>
      <w:r w:rsidR="000E713B" w:rsidRPr="000E713B">
        <w:rPr>
          <w:rFonts w:cs="Arial"/>
          <w:szCs w:val="28"/>
        </w:rPr>
        <w:t xml:space="preserve">una consulta indígena y afromexicana realmente válida, no basta con realizar foros no vinculantes que se desarrollen a partir de procedimientos que no sean culturalmente adecuados y que no tutelen los intereses de las comunidades indígenas y afromexicanas. </w:t>
      </w:r>
    </w:p>
    <w:p w:rsidR="000E713B" w:rsidRPr="000E713B" w:rsidRDefault="000E713B" w:rsidP="000E713B">
      <w:pPr>
        <w:rPr>
          <w:rFonts w:cs="Arial"/>
          <w:szCs w:val="28"/>
        </w:rPr>
      </w:pPr>
    </w:p>
    <w:p w:rsidR="000E713B" w:rsidRPr="000E713B" w:rsidRDefault="00B37837" w:rsidP="000E713B">
      <w:pPr>
        <w:rPr>
          <w:rFonts w:cs="Arial"/>
          <w:szCs w:val="28"/>
        </w:rPr>
      </w:pPr>
      <w:r>
        <w:rPr>
          <w:rFonts w:cs="Arial"/>
          <w:szCs w:val="28"/>
        </w:rPr>
        <w:t>Finalmente, debe señalarse</w:t>
      </w:r>
      <w:r w:rsidR="000E713B" w:rsidRPr="000E713B">
        <w:rPr>
          <w:rFonts w:cs="Arial"/>
          <w:szCs w:val="28"/>
        </w:rPr>
        <w:t xml:space="preserve"> que si bien la decisión del Órgano Reformador de la Constitución de incorporar la consulta a los pueblos y comunidades indígenas y afromexicanas ha sido materializada en distintas leyes secundarias, como la Ley de Planeación, la Ley General de Derechos Lingüísticos de los Pueblos Indígenas o la Ley de la Comisión Nacional para el Desarrollo de los Pueblos Indígenas, lo cierto es que el ejercicio del derecho de consulta no debe estar limitado a esos ordenamientos, pues las comunidades indígenas </w:t>
      </w:r>
      <w:r>
        <w:rPr>
          <w:rFonts w:cs="Arial"/>
          <w:szCs w:val="28"/>
        </w:rPr>
        <w:t>tienen ese derecho</w:t>
      </w:r>
      <w:r w:rsidR="000E713B" w:rsidRPr="000E713B">
        <w:rPr>
          <w:rFonts w:cs="Arial"/>
          <w:szCs w:val="28"/>
        </w:rPr>
        <w:t xml:space="preserve"> también cuando se trate de procedimientos legislativos, cuyo contenido </w:t>
      </w:r>
      <w:r w:rsidR="00AF546F">
        <w:rPr>
          <w:rFonts w:cs="Arial"/>
          <w:szCs w:val="28"/>
        </w:rPr>
        <w:t>trate</w:t>
      </w:r>
      <w:r w:rsidR="000E713B" w:rsidRPr="000E713B">
        <w:rPr>
          <w:rFonts w:cs="Arial"/>
          <w:szCs w:val="28"/>
        </w:rPr>
        <w:t xml:space="preserve"> sobre derechos de los pueblos indígenas y afromexicanos. </w:t>
      </w:r>
    </w:p>
    <w:p w:rsidR="000E713B" w:rsidRPr="000E713B" w:rsidRDefault="000E713B" w:rsidP="000E713B">
      <w:pPr>
        <w:rPr>
          <w:rFonts w:cs="Arial"/>
          <w:szCs w:val="28"/>
        </w:rPr>
      </w:pPr>
    </w:p>
    <w:p w:rsidR="000E713B" w:rsidRDefault="000E713B" w:rsidP="000E713B">
      <w:pPr>
        <w:rPr>
          <w:rFonts w:cs="Arial"/>
          <w:szCs w:val="28"/>
        </w:rPr>
      </w:pPr>
      <w:r w:rsidRPr="000E713B">
        <w:rPr>
          <w:rFonts w:cs="Arial"/>
          <w:szCs w:val="28"/>
        </w:rPr>
        <w:t>Así, las legislaturas locales tienen el deber de prever una fase adicional en el proceso de creación de las leyes para consultar a los representante</w:t>
      </w:r>
      <w:r w:rsidR="00AF546F">
        <w:rPr>
          <w:rFonts w:cs="Arial"/>
          <w:szCs w:val="28"/>
        </w:rPr>
        <w:t>s de ese sector de la población</w:t>
      </w:r>
      <w:r w:rsidRPr="000E713B">
        <w:rPr>
          <w:rFonts w:cs="Arial"/>
          <w:szCs w:val="28"/>
        </w:rPr>
        <w:t xml:space="preserve"> cuando se trate de medidas legislativas susceptibles de afectarles directamente.</w:t>
      </w:r>
    </w:p>
    <w:p w:rsidR="00791223" w:rsidRDefault="00791223" w:rsidP="00384192">
      <w:pPr>
        <w:rPr>
          <w:rFonts w:cs="Arial"/>
          <w:szCs w:val="28"/>
        </w:rPr>
      </w:pPr>
    </w:p>
    <w:p w:rsidR="00881D7F" w:rsidRPr="00881D7F" w:rsidRDefault="00CE07CA" w:rsidP="00881D7F">
      <w:pPr>
        <w:rPr>
          <w:rFonts w:cs="Arial"/>
          <w:szCs w:val="28"/>
        </w:rPr>
      </w:pPr>
      <w:r>
        <w:rPr>
          <w:rFonts w:cs="Arial"/>
          <w:szCs w:val="28"/>
        </w:rPr>
        <w:t xml:space="preserve">Ahora, en el caso a estudio, </w:t>
      </w:r>
      <w:r w:rsidR="00C125F5">
        <w:rPr>
          <w:rFonts w:cs="Arial"/>
          <w:szCs w:val="28"/>
        </w:rPr>
        <w:t>el decreto impugnado es del tenor siguiente</w:t>
      </w:r>
      <w:r w:rsidR="00AB7686">
        <w:rPr>
          <w:rFonts w:cs="Arial"/>
          <w:szCs w:val="28"/>
        </w:rPr>
        <w:t>:</w:t>
      </w:r>
      <w:r w:rsidR="00C125F5">
        <w:rPr>
          <w:rFonts w:cs="Arial"/>
          <w:szCs w:val="28"/>
        </w:rPr>
        <w:t xml:space="preserve"> </w:t>
      </w:r>
      <w:r w:rsidR="00881D7F" w:rsidRPr="00881D7F">
        <w:rPr>
          <w:rFonts w:cs="Arial"/>
          <w:szCs w:val="28"/>
        </w:rPr>
        <w:t xml:space="preserve"> </w:t>
      </w:r>
    </w:p>
    <w:p w:rsidR="00A079BC" w:rsidRDefault="00A079BC" w:rsidP="00384192">
      <w:pPr>
        <w:tabs>
          <w:tab w:val="left" w:pos="2974"/>
        </w:tabs>
      </w:pPr>
    </w:p>
    <w:p w:rsidR="0006136D" w:rsidRDefault="00A079BC" w:rsidP="003F67F1">
      <w:pPr>
        <w:pStyle w:val="corte5transcripcion"/>
        <w:jc w:val="center"/>
      </w:pPr>
      <w:r>
        <w:t>DECRETO NÚMERO: 454</w:t>
      </w:r>
    </w:p>
    <w:p w:rsidR="0006136D" w:rsidRDefault="0006136D" w:rsidP="003F67F1">
      <w:pPr>
        <w:pStyle w:val="corte5transcripcion"/>
      </w:pPr>
    </w:p>
    <w:p w:rsidR="0006136D" w:rsidRDefault="00A079BC" w:rsidP="003F67F1">
      <w:pPr>
        <w:pStyle w:val="corte5transcripcion"/>
      </w:pPr>
      <w:r>
        <w:t>QUE REFORMA, ADICIONA Y DEROGA DIVERSAS DISPOSICIONES DE LA LEY DE INSTITUCIONES Y PROCEDIMIENTOS ELE</w:t>
      </w:r>
      <w:r w:rsidR="0006136D">
        <w:t>CTORALES DEL ESTADO DE SINALOA.</w:t>
      </w:r>
    </w:p>
    <w:p w:rsidR="0006136D" w:rsidRDefault="00A079BC" w:rsidP="003F67F1">
      <w:pPr>
        <w:pStyle w:val="corte5transcripcion"/>
      </w:pPr>
      <w:r>
        <w:t xml:space="preserve">ARTÍCULO ÚNICO.- Se reforman los artículos 18, párrafo segundo; 36, párrafos segundo y noveno; 80, párrafo segundo; 142, párrafo primero; 146, fracciones III y IV; 153 y 161; se adicionan un párrafo segundo al artículo 79; un párrafo tercero al 80, recorriendo los siguientes en el mismo orden; y una fracción XXIV Bis al 146; y se derogan los párrafos tercero, cuarto, quinto, sexto y décimo al artículo 36, todos de la Ley de Instituciones y Procedimientos Electorales del Estado de Sinaloa, para quedar como sigue: </w:t>
      </w:r>
    </w:p>
    <w:p w:rsidR="00D84C33" w:rsidRDefault="00D84C33" w:rsidP="003F67F1">
      <w:pPr>
        <w:pStyle w:val="corte5transcripcion"/>
      </w:pPr>
    </w:p>
    <w:p w:rsidR="00AE7D3C" w:rsidRDefault="00A079BC" w:rsidP="003F67F1">
      <w:pPr>
        <w:pStyle w:val="corte5transcripcion"/>
      </w:pPr>
      <w:r>
        <w:t xml:space="preserve">Artículo 18... </w:t>
      </w:r>
    </w:p>
    <w:p w:rsidR="00AE7D3C" w:rsidRDefault="00AE7D3C" w:rsidP="003F67F1">
      <w:pPr>
        <w:pStyle w:val="corte5transcripcion"/>
      </w:pPr>
    </w:p>
    <w:p w:rsidR="00D84C33" w:rsidRDefault="00A079BC" w:rsidP="003F67F1">
      <w:pPr>
        <w:pStyle w:val="corte5transcripcion"/>
      </w:pPr>
      <w:r>
        <w:t>El Congreso del Estado convocará a elecciones dentro de la primera quincena del mes de diciembre del año previo al año de la elección.</w:t>
      </w:r>
    </w:p>
    <w:p w:rsidR="00D84C33" w:rsidRDefault="00D84C33" w:rsidP="003F67F1">
      <w:pPr>
        <w:pStyle w:val="corte5transcripcion"/>
      </w:pPr>
    </w:p>
    <w:p w:rsidR="00A079BC" w:rsidRDefault="00A079BC" w:rsidP="003F67F1">
      <w:pPr>
        <w:pStyle w:val="corte5transcripcion"/>
      </w:pPr>
      <w:r>
        <w:t xml:space="preserve">I. a </w:t>
      </w:r>
      <w:r w:rsidR="00D84C33">
        <w:t>III</w:t>
      </w:r>
    </w:p>
    <w:p w:rsidR="00D84C33" w:rsidRDefault="00D84C33" w:rsidP="003F67F1">
      <w:pPr>
        <w:pStyle w:val="corte5transcripcion"/>
      </w:pPr>
    </w:p>
    <w:p w:rsidR="00D84C33" w:rsidRDefault="00A079BC" w:rsidP="003F67F1">
      <w:pPr>
        <w:pStyle w:val="corte5transcripcion"/>
      </w:pPr>
      <w:r>
        <w:t xml:space="preserve">Artículo 36.... </w:t>
      </w:r>
    </w:p>
    <w:p w:rsidR="00D84C33" w:rsidRDefault="00D84C33" w:rsidP="003F67F1">
      <w:pPr>
        <w:pStyle w:val="corte5transcripcion"/>
      </w:pPr>
    </w:p>
    <w:p w:rsidR="007E068A" w:rsidRDefault="00A079BC" w:rsidP="003F67F1">
      <w:pPr>
        <w:pStyle w:val="corte5transcripcion"/>
      </w:pPr>
      <w:r>
        <w:t>Para el ejercicio del derecho reconocido en el párrafo anterior, bastará que cada partido político nacional lo manifieste por escrito al Instituto, dentro de los quince días posteriores a la publicación de la convocatoria a elecciones que expida el Congreso del Estado, proporcionando:</w:t>
      </w:r>
    </w:p>
    <w:p w:rsidR="00D84C33" w:rsidRDefault="00A079BC" w:rsidP="003F67F1">
      <w:pPr>
        <w:pStyle w:val="corte5transcripcion"/>
      </w:pPr>
      <w:r>
        <w:t xml:space="preserve"> </w:t>
      </w:r>
    </w:p>
    <w:p w:rsidR="00D84C33" w:rsidRDefault="007E068A" w:rsidP="003F67F1">
      <w:pPr>
        <w:pStyle w:val="corte5transcripcion"/>
      </w:pPr>
      <w:r>
        <w:t xml:space="preserve">I. </w:t>
      </w:r>
      <w:r w:rsidR="00A079BC">
        <w:t xml:space="preserve">El domicilio para notificaciones en la capital del Estado, al que se remitirán también las convocatorias a sesiones del Consejo General y de las comisiones de trabajo, así como cualquier otro aviso que se requiera; </w:t>
      </w:r>
    </w:p>
    <w:p w:rsidR="007E068A" w:rsidRDefault="007E068A" w:rsidP="003F67F1">
      <w:pPr>
        <w:pStyle w:val="corte5transcripcion"/>
      </w:pPr>
    </w:p>
    <w:p w:rsidR="00D84C33" w:rsidRDefault="00A079BC" w:rsidP="003F67F1">
      <w:pPr>
        <w:pStyle w:val="corte5transcripcion"/>
      </w:pPr>
      <w:r>
        <w:t xml:space="preserve">II. El directorio de integrantes de su dirigencia y demás órganos internos estatales, incluyendo teléfonos y correos electrónicos de contacto; y </w:t>
      </w:r>
    </w:p>
    <w:p w:rsidR="007E068A" w:rsidRDefault="007E068A" w:rsidP="003F67F1">
      <w:pPr>
        <w:pStyle w:val="corte5transcripcion"/>
      </w:pPr>
    </w:p>
    <w:p w:rsidR="00D84C33" w:rsidRDefault="00A079BC" w:rsidP="003F67F1">
      <w:pPr>
        <w:pStyle w:val="corte5transcripcion"/>
      </w:pPr>
      <w:r>
        <w:t>III. El directorio de dirigencias y órganos municipales que tenga integrados</w:t>
      </w:r>
      <w:r w:rsidR="00D84C33">
        <w:t xml:space="preserve">. </w:t>
      </w:r>
    </w:p>
    <w:p w:rsidR="00D84C33" w:rsidRDefault="00D84C33" w:rsidP="003F67F1">
      <w:pPr>
        <w:pStyle w:val="corte5transcripcion"/>
      </w:pPr>
    </w:p>
    <w:p w:rsidR="00D84C33" w:rsidRDefault="00D84C33" w:rsidP="003F67F1">
      <w:pPr>
        <w:pStyle w:val="corte5transcripcion"/>
      </w:pPr>
      <w:r>
        <w:t xml:space="preserve">Derogado. </w:t>
      </w:r>
    </w:p>
    <w:p w:rsidR="00D84C33" w:rsidRDefault="00D84C33" w:rsidP="003F67F1">
      <w:pPr>
        <w:pStyle w:val="corte5transcripcion"/>
      </w:pPr>
    </w:p>
    <w:p w:rsidR="00D84C33" w:rsidRDefault="00D84C33" w:rsidP="003F67F1">
      <w:pPr>
        <w:pStyle w:val="corte5transcripcion"/>
      </w:pPr>
      <w:r>
        <w:t xml:space="preserve">Derogado. </w:t>
      </w:r>
    </w:p>
    <w:p w:rsidR="00D84C33" w:rsidRDefault="00D84C33" w:rsidP="003F67F1">
      <w:pPr>
        <w:pStyle w:val="corte5transcripcion"/>
      </w:pPr>
    </w:p>
    <w:p w:rsidR="00D84C33" w:rsidRDefault="00D84C33" w:rsidP="003F67F1">
      <w:pPr>
        <w:pStyle w:val="corte5transcripcion"/>
      </w:pPr>
      <w:r>
        <w:t>Derogado.</w:t>
      </w:r>
    </w:p>
    <w:p w:rsidR="00D84C33" w:rsidRDefault="00D84C33" w:rsidP="003F67F1">
      <w:pPr>
        <w:pStyle w:val="corte5transcripcion"/>
      </w:pPr>
    </w:p>
    <w:p w:rsidR="00A079BC" w:rsidRDefault="00A079BC" w:rsidP="003F67F1">
      <w:pPr>
        <w:pStyle w:val="corte5transcripcion"/>
      </w:pPr>
      <w:r>
        <w:t xml:space="preserve">Derogado. </w:t>
      </w:r>
    </w:p>
    <w:p w:rsidR="007E068A" w:rsidRDefault="007E068A" w:rsidP="003F67F1">
      <w:pPr>
        <w:pStyle w:val="corte5transcripcion"/>
      </w:pPr>
    </w:p>
    <w:p w:rsidR="007E068A" w:rsidRDefault="007E068A" w:rsidP="003F67F1">
      <w:pPr>
        <w:pStyle w:val="corte5transcripcion"/>
      </w:pPr>
      <w:r>
        <w:t>…</w:t>
      </w:r>
    </w:p>
    <w:p w:rsidR="007E068A" w:rsidRDefault="007E068A" w:rsidP="003F67F1">
      <w:pPr>
        <w:pStyle w:val="corte5transcripcion"/>
      </w:pPr>
    </w:p>
    <w:p w:rsidR="007E068A" w:rsidRDefault="007E068A" w:rsidP="003F67F1">
      <w:pPr>
        <w:pStyle w:val="corte5transcripcion"/>
      </w:pPr>
      <w:r>
        <w:t>…</w:t>
      </w:r>
    </w:p>
    <w:p w:rsidR="00D84C33" w:rsidRDefault="00D84C33" w:rsidP="003F67F1">
      <w:pPr>
        <w:pStyle w:val="corte5transcripcion"/>
      </w:pPr>
    </w:p>
    <w:p w:rsidR="00D84C33" w:rsidRDefault="00A079BC" w:rsidP="003F67F1">
      <w:pPr>
        <w:pStyle w:val="corte5transcripcion"/>
      </w:pPr>
      <w:r>
        <w:t xml:space="preserve">Dentro del primer mes del proceso electoral ordinario, el Instituto ordenará publicar en el Periódico Oficial del Estado, el listado de partidos políticos nacionales y locales que participarán en la elección. </w:t>
      </w:r>
    </w:p>
    <w:p w:rsidR="00D84C33" w:rsidRDefault="00D84C33" w:rsidP="003F67F1">
      <w:pPr>
        <w:pStyle w:val="corte5transcripcion"/>
      </w:pPr>
    </w:p>
    <w:p w:rsidR="00D84C33" w:rsidRDefault="00A079BC" w:rsidP="003F67F1">
      <w:pPr>
        <w:pStyle w:val="corte5transcripcion"/>
      </w:pPr>
      <w:r>
        <w:t xml:space="preserve">Derogado. </w:t>
      </w:r>
    </w:p>
    <w:p w:rsidR="00D84C33" w:rsidRDefault="00D84C33" w:rsidP="003F67F1">
      <w:pPr>
        <w:pStyle w:val="corte5transcripcion"/>
      </w:pPr>
    </w:p>
    <w:p w:rsidR="00D84C33" w:rsidRDefault="00A079BC" w:rsidP="003F67F1">
      <w:pPr>
        <w:pStyle w:val="corte5transcripcion"/>
      </w:pPr>
      <w:r>
        <w:t>Artículo 79.</w:t>
      </w:r>
      <w:r w:rsidR="00136253">
        <w:t xml:space="preserve"> </w:t>
      </w:r>
      <w:r>
        <w:t xml:space="preserve">... </w:t>
      </w:r>
    </w:p>
    <w:p w:rsidR="00D84C33" w:rsidRDefault="00D84C33" w:rsidP="003F67F1">
      <w:pPr>
        <w:pStyle w:val="corte5transcripcion"/>
      </w:pPr>
    </w:p>
    <w:p w:rsidR="00522BD8" w:rsidRDefault="00A079BC" w:rsidP="003F67F1">
      <w:pPr>
        <w:pStyle w:val="corte5transcripcion"/>
      </w:pPr>
      <w:r>
        <w:t xml:space="preserve">Dentro los últimos siete días del mes de octubre del año anterior a la elección, el Consejo General del Instituto acordará los plazos en los que deberán desahogarse los procedimientos a que se refiere este artículo, y podrá al concluir dicho término publicar la convocatoria correspondiente. </w:t>
      </w:r>
    </w:p>
    <w:p w:rsidR="00522BD8" w:rsidRDefault="00522BD8" w:rsidP="003F67F1">
      <w:pPr>
        <w:pStyle w:val="corte5transcripcion"/>
      </w:pPr>
    </w:p>
    <w:p w:rsidR="00522BD8" w:rsidRDefault="00A079BC" w:rsidP="003F67F1">
      <w:pPr>
        <w:pStyle w:val="corte5transcripcion"/>
      </w:pPr>
      <w:r>
        <w:t>Artículo 80.</w:t>
      </w:r>
      <w:r w:rsidR="00522BD8">
        <w:t xml:space="preserve"> </w:t>
      </w:r>
      <w:r>
        <w:t xml:space="preserve">... </w:t>
      </w:r>
    </w:p>
    <w:p w:rsidR="00522BD8" w:rsidRDefault="00522BD8" w:rsidP="003F67F1">
      <w:pPr>
        <w:pStyle w:val="corte5transcripcion"/>
      </w:pPr>
    </w:p>
    <w:p w:rsidR="00A079BC" w:rsidRDefault="00A079BC" w:rsidP="003F67F1">
      <w:pPr>
        <w:pStyle w:val="corte5transcripcion"/>
      </w:pPr>
      <w:r>
        <w:t xml:space="preserve">La manifestación de la intención se realizará a partir del día siguiente al de la celebración de la sesión del Consejo General para el inicio formal del proceso electoral y hasta el día previo al inicio del periodo para recabar el apoyo ciudadano correspondiente, conforme a las siguientes reglas: </w:t>
      </w:r>
    </w:p>
    <w:p w:rsidR="00522BD8" w:rsidRDefault="00522BD8" w:rsidP="003F67F1">
      <w:pPr>
        <w:pStyle w:val="corte5transcripcion"/>
      </w:pPr>
    </w:p>
    <w:p w:rsidR="00522BD8" w:rsidRDefault="00522BD8" w:rsidP="003F67F1">
      <w:pPr>
        <w:pStyle w:val="corte5transcripcion"/>
      </w:pPr>
      <w:r>
        <w:t>I. a III. …</w:t>
      </w:r>
    </w:p>
    <w:p w:rsidR="00522BD8" w:rsidRDefault="00522BD8" w:rsidP="003F67F1">
      <w:pPr>
        <w:pStyle w:val="corte5transcripcion"/>
      </w:pPr>
    </w:p>
    <w:p w:rsidR="00522BD8" w:rsidRDefault="00A079BC" w:rsidP="003F67F1">
      <w:pPr>
        <w:pStyle w:val="corte5transcripcion"/>
      </w:pPr>
      <w:r>
        <w:t xml:space="preserve">Las manifestaciones de intención de ciudadanos que pretendan postularse como candidatos independientes a los cargos de Diputados, Presidente municipal, Síndico Procurador y Regidurías, todos por el sistema de mayoría relativa, podrán presentarse supletoriamente ante el Consejo General, quien podrá acreditar a los aspirantes que hayan cumplido con los requisitos; así como recibir y resolver las solicitudes de registro de fórmulas de candidatos independientes a dichos cargos. </w:t>
      </w:r>
    </w:p>
    <w:p w:rsidR="00522BD8" w:rsidRDefault="00522BD8" w:rsidP="003F67F1">
      <w:pPr>
        <w:pStyle w:val="corte5transcripcion"/>
      </w:pPr>
    </w:p>
    <w:p w:rsidR="00522BD8" w:rsidRDefault="00522BD8" w:rsidP="003F67F1">
      <w:pPr>
        <w:pStyle w:val="corte5transcripcion"/>
      </w:pPr>
      <w:r>
        <w:t>…</w:t>
      </w:r>
    </w:p>
    <w:p w:rsidR="00522BD8" w:rsidRDefault="00522BD8" w:rsidP="003F67F1">
      <w:pPr>
        <w:pStyle w:val="corte5transcripcion"/>
      </w:pPr>
    </w:p>
    <w:p w:rsidR="00522BD8" w:rsidRDefault="00522BD8" w:rsidP="003F67F1">
      <w:pPr>
        <w:pStyle w:val="corte5transcripcion"/>
      </w:pPr>
      <w:r>
        <w:t>…</w:t>
      </w:r>
    </w:p>
    <w:p w:rsidR="00522BD8" w:rsidRDefault="00522BD8" w:rsidP="003F67F1">
      <w:pPr>
        <w:pStyle w:val="corte5transcripcion"/>
      </w:pPr>
    </w:p>
    <w:p w:rsidR="00522BD8" w:rsidRDefault="00522BD8" w:rsidP="003F67F1">
      <w:pPr>
        <w:pStyle w:val="corte5transcripcion"/>
      </w:pPr>
      <w:r>
        <w:t>…</w:t>
      </w:r>
    </w:p>
    <w:p w:rsidR="00522BD8" w:rsidRDefault="00522BD8" w:rsidP="003F67F1">
      <w:pPr>
        <w:pStyle w:val="corte5transcripcion"/>
      </w:pPr>
    </w:p>
    <w:p w:rsidR="00522BD8" w:rsidRDefault="00A079BC" w:rsidP="003F67F1">
      <w:pPr>
        <w:pStyle w:val="corte5transcripcion"/>
      </w:pPr>
      <w:r>
        <w:t xml:space="preserve">Artículo 142. El Consejo General funcionará en forma permanente, pero para efectos de dar inicio formal a los procesos electorales celebrará sesión dentro de los cinco días posteriores a la fecha de expedición de la convocatoria a elecciones por el Congreso del Estado. A partir de esa fecha y hasta la conclusión del proceso el Consejo General sesionará por lo menos dos veces al mes. </w:t>
      </w:r>
    </w:p>
    <w:p w:rsidR="00522BD8" w:rsidRDefault="00522BD8" w:rsidP="003F67F1">
      <w:pPr>
        <w:pStyle w:val="corte5transcripcion"/>
      </w:pPr>
    </w:p>
    <w:p w:rsidR="00522BD8" w:rsidRDefault="00522BD8" w:rsidP="003F67F1">
      <w:pPr>
        <w:pStyle w:val="corte5transcripcion"/>
      </w:pPr>
      <w:r>
        <w:t>…</w:t>
      </w:r>
    </w:p>
    <w:p w:rsidR="00522BD8" w:rsidRDefault="00522BD8" w:rsidP="003F67F1">
      <w:pPr>
        <w:pStyle w:val="corte5transcripcion"/>
      </w:pPr>
    </w:p>
    <w:p w:rsidR="00522BD8" w:rsidRDefault="00522BD8" w:rsidP="003F67F1">
      <w:pPr>
        <w:pStyle w:val="corte5transcripcion"/>
      </w:pPr>
      <w:r>
        <w:t>…</w:t>
      </w:r>
    </w:p>
    <w:p w:rsidR="00522BD8" w:rsidRDefault="00522BD8" w:rsidP="003F67F1">
      <w:pPr>
        <w:pStyle w:val="corte5transcripcion"/>
      </w:pPr>
    </w:p>
    <w:p w:rsidR="00522BD8" w:rsidRDefault="00A079BC" w:rsidP="003F67F1">
      <w:pPr>
        <w:pStyle w:val="corte5transcripcion"/>
      </w:pPr>
      <w:r>
        <w:t>Artículo 146.</w:t>
      </w:r>
      <w:r w:rsidR="00522BD8">
        <w:t xml:space="preserve"> </w:t>
      </w:r>
      <w:r>
        <w:t xml:space="preserve">... </w:t>
      </w:r>
    </w:p>
    <w:p w:rsidR="00522BD8" w:rsidRDefault="00522BD8" w:rsidP="003F67F1">
      <w:pPr>
        <w:pStyle w:val="corte5transcripcion"/>
      </w:pPr>
    </w:p>
    <w:p w:rsidR="00A079BC" w:rsidRDefault="00A079BC" w:rsidP="003F67F1">
      <w:pPr>
        <w:pStyle w:val="corte5transcripcion"/>
      </w:pPr>
      <w:r>
        <w:t xml:space="preserve">I. y II. </w:t>
      </w:r>
    </w:p>
    <w:p w:rsidR="00522BD8" w:rsidRDefault="00522BD8" w:rsidP="003F67F1">
      <w:pPr>
        <w:pStyle w:val="corte5transcripcion"/>
      </w:pPr>
    </w:p>
    <w:p w:rsidR="00522BD8" w:rsidRDefault="00A079BC" w:rsidP="003F67F1">
      <w:pPr>
        <w:pStyle w:val="corte5transcripcion"/>
      </w:pPr>
      <w:r>
        <w:t xml:space="preserve">III. Designar durante la primera quincena del mes de enero del año de la elección, al Presidente y consejeros electorales que integren los Consejos Distritales y a los integrantes de los Consejos Municipales con base en los lineamientos respectivos; </w:t>
      </w:r>
    </w:p>
    <w:p w:rsidR="00522BD8" w:rsidRDefault="00522BD8" w:rsidP="003F67F1">
      <w:pPr>
        <w:pStyle w:val="corte5transcripcion"/>
      </w:pPr>
    </w:p>
    <w:p w:rsidR="00522BD8" w:rsidRDefault="00A079BC" w:rsidP="003F67F1">
      <w:pPr>
        <w:pStyle w:val="corte5transcripcion"/>
      </w:pPr>
      <w:r>
        <w:t xml:space="preserve">IV. Recibir las manifestaciones de intención de participar en el proceso electoral que presenten los Partidos Políticos nacionales, para participar en los procesos electorales locales; </w:t>
      </w:r>
    </w:p>
    <w:p w:rsidR="00522BD8" w:rsidRDefault="00522BD8" w:rsidP="003F67F1">
      <w:pPr>
        <w:pStyle w:val="corte5transcripcion"/>
      </w:pPr>
    </w:p>
    <w:p w:rsidR="00522BD8" w:rsidRDefault="00A079BC" w:rsidP="003F67F1">
      <w:pPr>
        <w:pStyle w:val="corte5transcripcion"/>
      </w:pPr>
      <w:r>
        <w:t xml:space="preserve">V. a XXIV. </w:t>
      </w:r>
    </w:p>
    <w:p w:rsidR="00522BD8" w:rsidRDefault="00522BD8" w:rsidP="003F67F1">
      <w:pPr>
        <w:pStyle w:val="corte5transcripcion"/>
      </w:pPr>
    </w:p>
    <w:p w:rsidR="003F67F1" w:rsidRDefault="00A079BC" w:rsidP="003F67F1">
      <w:pPr>
        <w:pStyle w:val="corte5transcripcion"/>
      </w:pPr>
      <w:r>
        <w:t xml:space="preserve">XXIV Bis. Recibir supletoriamente las manifestaciones de intención de ciudadanos que pretendan postularse como candidatos independientes a los cargos de Diputados, Presidente municipal, Síndico Procurador y Regidurías por el sistema de mayoría relativa; acreditar a los aspirantes que hayan cumplido con los requisitos; así como recibir y resolver las solicitudes de registro de fórmulas de candidatos independientes a dichos cargos; </w:t>
      </w:r>
    </w:p>
    <w:p w:rsidR="003F67F1" w:rsidRDefault="003F67F1" w:rsidP="003F67F1">
      <w:pPr>
        <w:pStyle w:val="corte5transcripcion"/>
      </w:pPr>
    </w:p>
    <w:p w:rsidR="00A079BC" w:rsidRDefault="00A079BC" w:rsidP="003F67F1">
      <w:pPr>
        <w:pStyle w:val="corte5transcripcion"/>
      </w:pPr>
      <w:r>
        <w:t xml:space="preserve">XXV. a XL.... </w:t>
      </w:r>
    </w:p>
    <w:p w:rsidR="00A00C21" w:rsidRDefault="00A00C21" w:rsidP="003F67F1">
      <w:pPr>
        <w:pStyle w:val="corte5transcripcion"/>
      </w:pPr>
    </w:p>
    <w:p w:rsidR="003F67F1" w:rsidRDefault="00A079BC" w:rsidP="003F67F1">
      <w:pPr>
        <w:pStyle w:val="corte5transcripcion"/>
      </w:pPr>
      <w:r>
        <w:t xml:space="preserve">Artículo 153. Los Consejos Distritales Electorales se instalarán durante la segunda quincena del mes de enero del año en que se celebren las elecciones ordinarias. A partir de su instalación y hasta la conclusión del proceso sesionarán en forma ordinaria por lo menos dos veces al mes. </w:t>
      </w:r>
    </w:p>
    <w:p w:rsidR="003F67F1" w:rsidRDefault="003F67F1" w:rsidP="003F67F1">
      <w:pPr>
        <w:pStyle w:val="corte5transcripcion"/>
      </w:pPr>
    </w:p>
    <w:p w:rsidR="003F67F1" w:rsidRDefault="00A079BC" w:rsidP="003F67F1">
      <w:pPr>
        <w:pStyle w:val="corte5transcripcion"/>
      </w:pPr>
      <w:r>
        <w:t xml:space="preserve">Artículo 161. Los Consejos Municipales Electorales se instalarán durante la segunda quincena del mes de enero del año de la elección. A partir de su instalación y hasta la conclusión del proceso sesionarán por lo menos dos veces al mes. </w:t>
      </w:r>
    </w:p>
    <w:p w:rsidR="003F67F1" w:rsidRDefault="003F67F1" w:rsidP="003F67F1">
      <w:pPr>
        <w:pStyle w:val="corte5transcripcion"/>
      </w:pPr>
    </w:p>
    <w:p w:rsidR="003F67F1" w:rsidRDefault="00A079BC" w:rsidP="003F67F1">
      <w:pPr>
        <w:pStyle w:val="corte5transcripcion"/>
        <w:jc w:val="center"/>
      </w:pPr>
      <w:r>
        <w:t>TRANSITORIO</w:t>
      </w:r>
    </w:p>
    <w:p w:rsidR="003F67F1" w:rsidRDefault="003F67F1" w:rsidP="003F67F1">
      <w:pPr>
        <w:pStyle w:val="corte5transcripcion"/>
      </w:pPr>
    </w:p>
    <w:p w:rsidR="00A079BC" w:rsidRDefault="00A079BC" w:rsidP="003F67F1">
      <w:pPr>
        <w:pStyle w:val="corte5transcripcion"/>
      </w:pPr>
      <w:r>
        <w:t>ARTÍCULO ÚNICO.- El presente Decreto entrará en vigor al día siguiente de su publicación en el Periódico</w:t>
      </w:r>
      <w:r w:rsidR="003F67F1">
        <w:t xml:space="preserve"> Oficial "El Estado de Sinaloa".</w:t>
      </w:r>
    </w:p>
    <w:p w:rsidR="003F67F1" w:rsidRDefault="003F67F1" w:rsidP="003F67F1">
      <w:pPr>
        <w:pStyle w:val="corte5transcripcion"/>
      </w:pPr>
    </w:p>
    <w:p w:rsidR="0039363D" w:rsidRDefault="007E068A" w:rsidP="003F67F1">
      <w:r>
        <w:t xml:space="preserve">De la lectura del decreto impugnado este Tribunal Pleno advierte que las disposiciones normativas modificadas, adicionadas o </w:t>
      </w:r>
      <w:r w:rsidR="001B6DFF">
        <w:t>derogadas</w:t>
      </w:r>
      <w:r w:rsidR="00A00C21">
        <w:t xml:space="preserve"> por el Congreso de Sinaloa</w:t>
      </w:r>
      <w:r w:rsidR="001B6DFF">
        <w:t xml:space="preserve"> no </w:t>
      </w:r>
      <w:r w:rsidR="00A00C21">
        <w:t xml:space="preserve">afectan </w:t>
      </w:r>
      <w:r w:rsidR="001B6DFF">
        <w:t>directa</w:t>
      </w:r>
      <w:r w:rsidR="00A00C21">
        <w:t>mente</w:t>
      </w:r>
      <w:r w:rsidR="001B6DFF">
        <w:t xml:space="preserve"> a los pueblos y comunidades indígenas y afromexicanas</w:t>
      </w:r>
      <w:r w:rsidR="00A00C21">
        <w:t xml:space="preserve">, pues </w:t>
      </w:r>
      <w:r w:rsidR="001B6DFF">
        <w:t xml:space="preserve">no tienen por objeto regular algún aspecto </w:t>
      </w:r>
      <w:r w:rsidR="0039363D">
        <w:t>relativo a su participación en el proceso electoral</w:t>
      </w:r>
      <w:r w:rsidR="00A00C21">
        <w:t>, ni mediante</w:t>
      </w:r>
      <w:r w:rsidR="0039363D">
        <w:t xml:space="preserve"> el </w:t>
      </w:r>
      <w:r w:rsidR="00A00C21">
        <w:t xml:space="preserve">ejercicio del </w:t>
      </w:r>
      <w:r w:rsidR="0039363D">
        <w:t xml:space="preserve">voto activo o </w:t>
      </w:r>
      <w:r w:rsidR="00A00C21">
        <w:t xml:space="preserve">el ejercicio del voto </w:t>
      </w:r>
      <w:r w:rsidR="0039363D">
        <w:t xml:space="preserve">pasivo. </w:t>
      </w:r>
    </w:p>
    <w:p w:rsidR="0039363D" w:rsidRDefault="0039363D" w:rsidP="003F67F1"/>
    <w:p w:rsidR="00A00C21" w:rsidRDefault="0039363D" w:rsidP="003F67F1">
      <w:r>
        <w:t>En efecto,</w:t>
      </w:r>
      <w:r w:rsidR="000A54F7">
        <w:t xml:space="preserve"> en términos generales</w:t>
      </w:r>
      <w:r>
        <w:t xml:space="preserve"> </w:t>
      </w:r>
      <w:r w:rsidR="00065341">
        <w:t xml:space="preserve">los artículos </w:t>
      </w:r>
      <w:r w:rsidR="00A00C21">
        <w:t>sujetos a modificación tienen por objeto regular aspectos relacionados con las fechas en que serán llevados a cabo distintos actos dentro del proceso electoral, la participación de los partidos políticos nacionales en la elección local o los requisitos y trámites que deben cumplir los ciudadanos que quieren postularse como candidatos independientes.</w:t>
      </w:r>
    </w:p>
    <w:p w:rsidR="00A00C21" w:rsidRDefault="00A00C21" w:rsidP="003F67F1"/>
    <w:p w:rsidR="003F67F1" w:rsidRDefault="0030123A" w:rsidP="003F67F1">
      <w:r>
        <w:t>Por ende, a juicio de este Tribunal Pleno, el Congreso del Estado de Sinaloa no debió realizar una consulta previa a los pueblos y comunidades indígenas y afromexicanas para estar en condiciones de realizar las reformas impugnadas, pues las disposiciones normativas no los afectan directamente</w:t>
      </w:r>
      <w:r w:rsidR="00AC4C74">
        <w:t xml:space="preserve">, sino que regulan aspectos del proceso electoral comunes a todas las personas y partidos políticos que participan en su desarrollo. </w:t>
      </w:r>
    </w:p>
    <w:p w:rsidR="00AC4C74" w:rsidRDefault="00AC4C74" w:rsidP="003F67F1"/>
    <w:p w:rsidR="00AC4C74" w:rsidRDefault="00AC4C74" w:rsidP="003F67F1">
      <w:r>
        <w:t xml:space="preserve">Así, son infundados los argumentos del partido demandante en los que sostiene que el proceso legislativo transgredió el derecho de los pueblos y comunidades indígenas y afroamericanas, por lo cual este Tribunal Pleno reconoce la validez del </w:t>
      </w:r>
      <w:r w:rsidRPr="00B2248B">
        <w:t xml:space="preserve">decreto No. 454, publicado en el Periódico Oficial 'El Estado de Sinaloa' No. 068 del </w:t>
      </w:r>
      <w:r>
        <w:t>cinco de junio del dos mil veinte.</w:t>
      </w:r>
    </w:p>
    <w:p w:rsidR="00372ED6" w:rsidRDefault="00372ED6" w:rsidP="003F67F1"/>
    <w:p w:rsidR="00654E15" w:rsidRDefault="00654E15" w:rsidP="00654E15">
      <w:pPr>
        <w:pStyle w:val="Ttulo3"/>
        <w:ind w:firstLine="709"/>
      </w:pPr>
      <w:r>
        <w:t>B. Argumentos en contra de las disposiciones normativas modificadas mediante el decreto impugnado</w:t>
      </w:r>
    </w:p>
    <w:p w:rsidR="00654E15" w:rsidRDefault="00654E15" w:rsidP="00654E15"/>
    <w:p w:rsidR="00654E15" w:rsidRDefault="00654E15" w:rsidP="00654E15">
      <w:r>
        <w:t>Dado que este Tribunal Pleno considero infundados los argumentos en contra del procedimiento legislativo por el cual fue emitido el decreto impugnado, a continuación son estudiados los argumentos del partido demandante relativos a las disposiciones normativas modificadas en concreto.</w:t>
      </w:r>
    </w:p>
    <w:p w:rsidR="00654E15" w:rsidRDefault="00654E15" w:rsidP="00654E15"/>
    <w:p w:rsidR="00372ED6" w:rsidRPr="00654E15" w:rsidRDefault="00654E15" w:rsidP="00654E15">
      <w:pPr>
        <w:pStyle w:val="Ttulo4"/>
      </w:pPr>
      <w:r w:rsidRPr="00654E15">
        <w:t>1</w:t>
      </w:r>
      <w:r w:rsidR="00372ED6" w:rsidRPr="00654E15">
        <w:t>. Modificación de la fecha en que el Congreso local convoca a elecciones</w:t>
      </w:r>
    </w:p>
    <w:p w:rsidR="00372ED6" w:rsidRDefault="00372ED6" w:rsidP="00654E15"/>
    <w:p w:rsidR="00372ED6" w:rsidRDefault="00A34563" w:rsidP="00372ED6">
      <w:r>
        <w:t xml:space="preserve">En su primer concepto </w:t>
      </w:r>
      <w:r w:rsidRPr="003B3C6F">
        <w:t>de invalidez e</w:t>
      </w:r>
      <w:r w:rsidR="00372ED6" w:rsidRPr="003B3C6F">
        <w:t xml:space="preserve">l partido político local impugna la constitucionalidad de los artículos 18, </w:t>
      </w:r>
      <w:r w:rsidR="002F2E52">
        <w:t xml:space="preserve">párrafo </w:t>
      </w:r>
      <w:r w:rsidR="00372ED6" w:rsidRPr="003B3C6F">
        <w:t>segundo; 36</w:t>
      </w:r>
      <w:r w:rsidR="00372ED6" w:rsidRPr="00EF35AE">
        <w:t>, párrafo</w:t>
      </w:r>
      <w:r w:rsidR="001521DB" w:rsidRPr="00EF35AE">
        <w:t xml:space="preserve"> </w:t>
      </w:r>
      <w:r w:rsidR="00372ED6" w:rsidRPr="00EF35AE">
        <w:t>noveno; 79, párrafo segundo; 142, párrafo primero; 146,</w:t>
      </w:r>
      <w:r w:rsidR="00F84FCD" w:rsidRPr="00EF35AE">
        <w:t xml:space="preserve"> fracciones IV y</w:t>
      </w:r>
      <w:r w:rsidR="00372ED6" w:rsidRPr="00EF35AE">
        <w:t xml:space="preserve"> XXIV Bis; 153 y 161 de la Ley de Instituciones y Procedi</w:t>
      </w:r>
      <w:r w:rsidR="00372ED6" w:rsidRPr="003B3C6F">
        <w:t xml:space="preserve">mientos Electorales del Estado de Sinaloa, así como el artículo único transitorio del decreto 454 </w:t>
      </w:r>
      <w:r w:rsidR="00372ED6" w:rsidRPr="00372ED6">
        <w:t>porque desde su perspectiva no debió aplazarse la convocatoria para iniciar el proceso electoral de la primera quincena de septiembre a la primera quincena de diciembre para cumplir con el periodo de veda electoral.</w:t>
      </w:r>
    </w:p>
    <w:p w:rsidR="00CE584A" w:rsidRDefault="00CE584A" w:rsidP="00372ED6"/>
    <w:p w:rsidR="00CE584A" w:rsidRDefault="00AE7D3C" w:rsidP="00372ED6">
      <w:r>
        <w:t xml:space="preserve">En primer lugar, debe precisarse que de la revisión de las disposiciones normativas impugnadas, este Tribunal Pleno advierte que bajo este argumento el partido demandante únicamente impugna el artículo </w:t>
      </w:r>
      <w:r w:rsidRPr="005C3563">
        <w:t>18, segundo párrafo,</w:t>
      </w:r>
      <w:r w:rsidRPr="00372ED6">
        <w:t xml:space="preserve"> de la Ley de Instituciones y Procedimientos Electorales del Estado de Sinaloa</w:t>
      </w:r>
      <w:r>
        <w:t>, el cual es del tenor siguiente</w:t>
      </w:r>
      <w:r w:rsidR="007E7F60">
        <w:t>:</w:t>
      </w:r>
      <w:r>
        <w:t xml:space="preserve"> </w:t>
      </w:r>
    </w:p>
    <w:p w:rsidR="000B11F7" w:rsidRDefault="000B11F7" w:rsidP="00372ED6"/>
    <w:p w:rsidR="00A102FB" w:rsidRDefault="00A102FB" w:rsidP="00A102FB">
      <w:pPr>
        <w:pStyle w:val="corte5transcripcion"/>
      </w:pPr>
      <w:r w:rsidRPr="000B11F7">
        <w:t>Artículo 18. Las elecciones ordinarias se celebrarán el primer domingo de junio del año que corresponda.</w:t>
      </w:r>
    </w:p>
    <w:p w:rsidR="00A102FB" w:rsidRDefault="00A102FB" w:rsidP="00A102FB">
      <w:pPr>
        <w:pStyle w:val="corte5transcripcion"/>
      </w:pPr>
    </w:p>
    <w:p w:rsidR="00A102FB" w:rsidRDefault="00A102FB" w:rsidP="00A102FB">
      <w:pPr>
        <w:pStyle w:val="corte5transcripcion"/>
      </w:pPr>
      <w:r>
        <w:t>El Congreso del Estado convocará a elecciones dentro de la primera quincena del mes de diciembre del año previo al año de la elección.</w:t>
      </w:r>
    </w:p>
    <w:p w:rsidR="00A102FB" w:rsidRDefault="00A102FB" w:rsidP="00A102FB">
      <w:pPr>
        <w:pStyle w:val="corte5transcripcion"/>
      </w:pPr>
    </w:p>
    <w:p w:rsidR="000B11F7" w:rsidRDefault="00A102FB" w:rsidP="00A102FB">
      <w:pPr>
        <w:pStyle w:val="corte5transcripcion"/>
      </w:pPr>
      <w:r>
        <w:t>[…]</w:t>
      </w:r>
    </w:p>
    <w:p w:rsidR="00A102FB" w:rsidRDefault="00A102FB" w:rsidP="00A102FB">
      <w:pPr>
        <w:pStyle w:val="corte5transcripcion"/>
      </w:pPr>
    </w:p>
    <w:p w:rsidR="00A102FB" w:rsidRDefault="00A102FB" w:rsidP="00A102FB">
      <w:r>
        <w:t xml:space="preserve">Ahora, respecto del problema jurídico planteado por el partido demandante, este Tribunal Pleno se pronunció en la acción de inconstitucionalidad 41/2006 y sus acumuladas en los siguientes términos. </w:t>
      </w:r>
    </w:p>
    <w:p w:rsidR="00A102FB" w:rsidRDefault="00A102FB" w:rsidP="00A102FB"/>
    <w:p w:rsidR="00A102FB" w:rsidRDefault="00A102FB" w:rsidP="00A102FB">
      <w:r>
        <w:t>D</w:t>
      </w:r>
      <w:r w:rsidR="00240DE8">
        <w:t>e la lectura del</w:t>
      </w:r>
      <w:r>
        <w:t xml:space="preserve"> artículo 116 de la Constitución </w:t>
      </w:r>
      <w:r w:rsidR="00240DE8">
        <w:t xml:space="preserve">General se sigue </w:t>
      </w:r>
      <w:r w:rsidRPr="00A102FB">
        <w:t>que los Estados cuentan con la facultad de regular en su C</w:t>
      </w:r>
      <w:r>
        <w:t>onstitución y leyes secundarias los aspectos relacionados con la</w:t>
      </w:r>
      <w:r w:rsidRPr="00A102FB">
        <w:t xml:space="preserve"> materia electoral</w:t>
      </w:r>
      <w:r w:rsidR="00240DE8">
        <w:t xml:space="preserve"> correspondiente a su régimen interior</w:t>
      </w:r>
      <w:r w:rsidRPr="00A102FB">
        <w:t xml:space="preserve">, </w:t>
      </w:r>
      <w:r>
        <w:t>siempre con respecto a los principios de</w:t>
      </w:r>
      <w:r w:rsidRPr="00A102FB">
        <w:t xml:space="preserve"> la legalidad, imparcialidad, objetividad, certeza e independencia en el ejercicio de la función electoral, así como los derechos y obligaciones de los partidos políticos.</w:t>
      </w:r>
    </w:p>
    <w:p w:rsidR="00240DE8" w:rsidRDefault="00240DE8" w:rsidP="00A102FB"/>
    <w:p w:rsidR="00240DE8" w:rsidRDefault="00240DE8" w:rsidP="00A102FB">
      <w:r>
        <w:t xml:space="preserve">En ese sentido, </w:t>
      </w:r>
      <w:r w:rsidRPr="00240DE8">
        <w:t xml:space="preserve">la única </w:t>
      </w:r>
      <w:r w:rsidR="00A650A4">
        <w:t>limitación</w:t>
      </w:r>
      <w:r w:rsidRPr="00240DE8">
        <w:t xml:space="preserve"> </w:t>
      </w:r>
      <w:r w:rsidR="00A650A4">
        <w:t>impuesta</w:t>
      </w:r>
      <w:r w:rsidR="00A650A4" w:rsidRPr="00240DE8">
        <w:t xml:space="preserve"> </w:t>
      </w:r>
      <w:r w:rsidRPr="00240DE8">
        <w:t>constitucionalmente a los legisladores locales</w:t>
      </w:r>
      <w:r w:rsidR="00A650A4">
        <w:t xml:space="preserve"> en relación con la normativa</w:t>
      </w:r>
      <w:r w:rsidRPr="00240DE8">
        <w:t xml:space="preserve"> que al efecto est</w:t>
      </w:r>
      <w:r w:rsidR="00A650A4">
        <w:t>ablezcan en su régimen interior</w:t>
      </w:r>
      <w:r w:rsidRPr="00240DE8">
        <w:t xml:space="preserve"> es que deberá ser acorde con los principios fundamentales y rectores establecidos en la Constitución Federal, de tal manera que los hagan vigentes.</w:t>
      </w:r>
    </w:p>
    <w:p w:rsidR="00A650A4" w:rsidRDefault="00A650A4" w:rsidP="00A102FB"/>
    <w:p w:rsidR="00A650A4" w:rsidRDefault="00A650A4" w:rsidP="00A102FB">
      <w:r w:rsidRPr="00A650A4">
        <w:t xml:space="preserve">En este orden </w:t>
      </w:r>
      <w:r w:rsidR="00902DD4">
        <w:t>de ideas, si la Constitución Gen</w:t>
      </w:r>
      <w:r w:rsidRPr="00A650A4">
        <w:t>eral no establece lineamientos específicos</w:t>
      </w:r>
      <w:r w:rsidR="00902DD4">
        <w:t xml:space="preserve"> que deban observar los Estados</w:t>
      </w:r>
      <w:r w:rsidRPr="00A650A4">
        <w:t xml:space="preserve"> sobre cuándo debe iniciar o </w:t>
      </w:r>
      <w:r w:rsidR="00902DD4">
        <w:t xml:space="preserve">cuánto </w:t>
      </w:r>
      <w:r w:rsidRPr="00A650A4">
        <w:t xml:space="preserve">durar un proceso electoral, </w:t>
      </w:r>
      <w:r w:rsidR="00902DD4">
        <w:t>entonces</w:t>
      </w:r>
      <w:r w:rsidRPr="00A650A4">
        <w:t xml:space="preserve"> gozan de la libertad para legislar libremente en su régimen interior al efecto, lo que es acorde con el sistema federal estatuido en los artículos 41, 116, fracción IV</w:t>
      </w:r>
      <w:r w:rsidR="004F5737">
        <w:t>,</w:t>
      </w:r>
      <w:r w:rsidRPr="00A650A4">
        <w:t xml:space="preserve"> y 124 de la Constitución Política de los Estados Unidos Mexicanos.</w:t>
      </w:r>
    </w:p>
    <w:p w:rsidR="00902DD4" w:rsidRDefault="00902DD4" w:rsidP="00A102FB"/>
    <w:p w:rsidR="00902DD4" w:rsidRDefault="00902DD4" w:rsidP="00A102FB">
      <w:r w:rsidRPr="00D805D1">
        <w:t>Además, a esta Suprema Corte de Justicia de la Nación no le corresponde “calificar” los motivos o criterios que llevaron a los congresos locales a modificar el inicio del próximo proceso electoral, pues solo le compete determinar si la disposición impugnada contraviene o no alguna disposición constitucional</w:t>
      </w:r>
      <w:r w:rsidR="00613E6F" w:rsidRPr="00D805D1">
        <w:t xml:space="preserve"> </w:t>
      </w:r>
      <w:r w:rsidR="00D805D1">
        <w:t>(</w:t>
      </w:r>
      <w:r w:rsidR="00613E6F" w:rsidRPr="00D805D1">
        <w:t>o</w:t>
      </w:r>
      <w:r w:rsidR="00D805D1" w:rsidRPr="00D805D1">
        <w:t xml:space="preserve"> de</w:t>
      </w:r>
      <w:r w:rsidR="00613E6F" w:rsidRPr="00D805D1">
        <w:t xml:space="preserve"> las leyes generales</w:t>
      </w:r>
      <w:r w:rsidR="00D805D1" w:rsidRPr="00D805D1">
        <w:t xml:space="preserve"> que rigen la materia electoral, según sea el caso</w:t>
      </w:r>
      <w:r w:rsidR="00D805D1">
        <w:t>)</w:t>
      </w:r>
      <w:r w:rsidR="00D805D1" w:rsidRPr="00D805D1">
        <w:t>.</w:t>
      </w:r>
    </w:p>
    <w:p w:rsidR="00902DD4" w:rsidRDefault="00902DD4" w:rsidP="00A102FB"/>
    <w:p w:rsidR="00902DD4" w:rsidRDefault="00902DD4" w:rsidP="00902DD4">
      <w:r>
        <w:t xml:space="preserve">Lo anterior no significa </w:t>
      </w:r>
      <w:r w:rsidRPr="00902DD4">
        <w:t>que el legislador está en completa libertad de elegir cualquier fecha para el inicio del proceso electoral, o que el cambio de esta fecha sea siempre y en todos los casos constitucional</w:t>
      </w:r>
      <w:r>
        <w:t>, pues tiene</w:t>
      </w:r>
      <w:r w:rsidRPr="00902DD4">
        <w:t xml:space="preserve"> que haber congruencia entre el momento de inicio y el resto de las disposiciones</w:t>
      </w:r>
      <w:r>
        <w:t xml:space="preserve"> que rigen el proceso electoral, ya que puede suceder,</w:t>
      </w:r>
      <w:r w:rsidRPr="00902DD4">
        <w:t xml:space="preserve"> por ejemplo, </w:t>
      </w:r>
      <w:r>
        <w:t>que con la nueva fecha</w:t>
      </w:r>
      <w:r w:rsidRPr="00902DD4">
        <w:t xml:space="preserve"> no se puedan cumplir ciertos actos o, peor aún, hace inoperante a todo el proceso electoral, es evidente que la reforma será inconstitucional.</w:t>
      </w:r>
    </w:p>
    <w:p w:rsidR="00902DD4" w:rsidRDefault="00902DD4" w:rsidP="00A102FB"/>
    <w:p w:rsidR="00080E64" w:rsidRDefault="00080E64" w:rsidP="00A102FB">
      <w:r>
        <w:t>Este criterio normativo fue reiterado en la acción de inconstitucionalidad 83/2017 y recientemente en la acción de inconstitucionalidad 171/2020.</w:t>
      </w:r>
    </w:p>
    <w:p w:rsidR="00080E64" w:rsidRDefault="00080E64" w:rsidP="00A102FB"/>
    <w:p w:rsidR="00B42E39" w:rsidRDefault="00080E64" w:rsidP="00A102FB">
      <w:r>
        <w:t xml:space="preserve">Con base en lo </w:t>
      </w:r>
      <w:r w:rsidR="00D805D1">
        <w:t>expuesto</w:t>
      </w:r>
      <w:r>
        <w:t xml:space="preserve">, este Tribunal Pleno considera que en el caso el artículo 18, párrafo segundo, de la Ley de Instituciones y Procedimientos Electorales del Estado de Sinaloa es constitucional en tanto, como fue referido, </w:t>
      </w:r>
      <w:r w:rsidR="00D52A03">
        <w:t xml:space="preserve">el legislativo local </w:t>
      </w:r>
      <w:r>
        <w:t xml:space="preserve">cuenta con libertad configurativa para modificar la fecha en que </w:t>
      </w:r>
      <w:r w:rsidR="00B42E39">
        <w:t xml:space="preserve">se convoca a elecciones e </w:t>
      </w:r>
      <w:r>
        <w:t>inicia el proceso electoral</w:t>
      </w:r>
      <w:r w:rsidR="00B42E39">
        <w:t xml:space="preserve">, aunado a que la fecha establecida para ello en este caso guarda congruencia con las disposiciones que rigen el proceso electoral. </w:t>
      </w:r>
    </w:p>
    <w:p w:rsidR="00B42E39" w:rsidRDefault="00B42E39" w:rsidP="00A102FB"/>
    <w:p w:rsidR="00080E64" w:rsidRDefault="00B42E39" w:rsidP="00A102FB">
      <w:r>
        <w:t>En efecto</w:t>
      </w:r>
      <w:r w:rsidR="004F5737">
        <w:t>,</w:t>
      </w:r>
      <w:r>
        <w:t xml:space="preserve"> de la revisión de la Ley de Instituciones y Procedimientos Electorales del Estado de Sinaloa no se advierte que la modificación de la fecha en que el Congreso local convoca a elecciones, a saber, de realizarse dentro de la primera quincena de septiembre del año previo de la elección a la primera quincena de diciembre del año previo a la elección, imposibilite o incluso dificulte en términos generales cumplir con las etapas que conforman el procedimiento electoral.</w:t>
      </w:r>
    </w:p>
    <w:p w:rsidR="004F5737" w:rsidRDefault="004F5737" w:rsidP="00A102FB"/>
    <w:p w:rsidR="004F5737" w:rsidRDefault="004F5737" w:rsidP="00A102FB">
      <w:r>
        <w:t>Incluso, varios de los artículos reformados mediante el decreto impugnado tuvieron como intención principal adecuar las fechas previstas en ellos al nuevo inicio del proceso electoral determinado a partir de la modificación de la fecha de convocatoria a elecciones prevista en el art</w:t>
      </w:r>
      <w:r w:rsidR="0059472E">
        <w:t>ículo</w:t>
      </w:r>
      <w:r>
        <w:t xml:space="preserve"> 18 en comento.</w:t>
      </w:r>
    </w:p>
    <w:p w:rsidR="0059472E" w:rsidRDefault="0059472E" w:rsidP="00A102FB"/>
    <w:p w:rsidR="0059472E" w:rsidRDefault="0059472E" w:rsidP="0059472E">
      <w:r>
        <w:t xml:space="preserve">Además, debe tenerse en cuenta que </w:t>
      </w:r>
      <w:r w:rsidR="00AE15C4">
        <w:t>en el artículo 20 de la ley electoral en comento fue establecido que l</w:t>
      </w:r>
      <w:r>
        <w:t>os plazos señalados para las elecciones ordinarias se podrán ampliar cuando a juicio del Consejo General haya imposibilidad material de realizar dentro de ellos los actos par</w:t>
      </w:r>
      <w:r w:rsidR="00AE15C4">
        <w:t xml:space="preserve">a los cuales están establecidos, aunado a que </w:t>
      </w:r>
      <w:r>
        <w:t xml:space="preserve"> podrá aprobar los ajustes necesarios a l</w:t>
      </w:r>
      <w:r w:rsidR="00AE15C4">
        <w:t>os plazos establecidos en esta l</w:t>
      </w:r>
      <w:r>
        <w:t xml:space="preserve">ey, </w:t>
      </w:r>
      <w:r w:rsidR="00AE15C4">
        <w:t>lo cual deberá</w:t>
      </w:r>
      <w:r>
        <w:t xml:space="preserve"> realizarse antes de la segunda quincena del mes de diciembre del año previo al de la jornada electoral.</w:t>
      </w:r>
    </w:p>
    <w:p w:rsidR="004F5737" w:rsidRDefault="004F5737" w:rsidP="00A102FB"/>
    <w:p w:rsidR="004F5737" w:rsidRDefault="004F5737" w:rsidP="00A102FB">
      <w:r>
        <w:t>Por lo tanto</w:t>
      </w:r>
      <w:r w:rsidR="007A07B4">
        <w:t xml:space="preserve">, este Tribunal Pleno considera </w:t>
      </w:r>
      <w:r>
        <w:t>infundado el argumento del partido demandante en el sentido de que el Congreso del Estado de Sinaloa no debió modificar la fecha en que convoca a elecciones, pues cuenta con libertad configurativa para ello, y, en consecuencia, reconoce la validez del artículo 18, párrafo segundo, de la Ley de Instituciones y Procedimientos Electorales del Estado de Sinaloa.</w:t>
      </w:r>
    </w:p>
    <w:p w:rsidR="004F5737" w:rsidRDefault="004F5737" w:rsidP="00A102FB"/>
    <w:p w:rsidR="004F5737" w:rsidRDefault="00654E15" w:rsidP="00654E15">
      <w:pPr>
        <w:pStyle w:val="Ttulo4"/>
      </w:pPr>
      <w:r>
        <w:t>2</w:t>
      </w:r>
      <w:r w:rsidR="004F5737">
        <w:t xml:space="preserve">. Actos de candidatos independientes previo al </w:t>
      </w:r>
      <w:r w:rsidR="00F93B5C">
        <w:t>inicio del proceso electoral</w:t>
      </w:r>
    </w:p>
    <w:p w:rsidR="004F5737" w:rsidRDefault="004F5737" w:rsidP="00A102FB"/>
    <w:p w:rsidR="004F5737" w:rsidRDefault="004F5737" w:rsidP="004F5737">
      <w:pPr>
        <w:ind w:firstLine="708"/>
        <w:rPr>
          <w:rFonts w:cs="Arial"/>
          <w:szCs w:val="28"/>
        </w:rPr>
      </w:pPr>
      <w:r w:rsidRPr="00FF42B6">
        <w:rPr>
          <w:rFonts w:cs="Arial"/>
          <w:szCs w:val="28"/>
        </w:rPr>
        <w:t xml:space="preserve">En su segundo concepto de invalidez </w:t>
      </w:r>
      <w:r>
        <w:rPr>
          <w:rFonts w:cs="Arial"/>
          <w:szCs w:val="28"/>
        </w:rPr>
        <w:t>el partido demandante</w:t>
      </w:r>
      <w:r w:rsidRPr="00FF42B6">
        <w:rPr>
          <w:rFonts w:cs="Arial"/>
          <w:szCs w:val="28"/>
        </w:rPr>
        <w:t xml:space="preserve"> impugna el artículo </w:t>
      </w:r>
      <w:r w:rsidRPr="00FF42B6">
        <w:rPr>
          <w:rFonts w:cs="Arial"/>
          <w:bCs/>
          <w:szCs w:val="28"/>
        </w:rPr>
        <w:t>79, párrafo segundo, de la Ley de Instituciones y Procedimientos Electorales del Estado de Sinaloa</w:t>
      </w:r>
      <w:r w:rsidRPr="00FF42B6">
        <w:rPr>
          <w:rFonts w:cs="Arial"/>
          <w:szCs w:val="28"/>
        </w:rPr>
        <w:t xml:space="preserve"> en razón de que permite a los candidatos independientes realizar actos propios del proceso electoral antes de que este comience.</w:t>
      </w:r>
    </w:p>
    <w:p w:rsidR="00F93B5C" w:rsidRDefault="00F93B5C" w:rsidP="004F5737">
      <w:pPr>
        <w:ind w:firstLine="708"/>
        <w:rPr>
          <w:rFonts w:cs="Arial"/>
          <w:szCs w:val="28"/>
        </w:rPr>
      </w:pPr>
    </w:p>
    <w:p w:rsidR="00F93B5C" w:rsidRDefault="00F93B5C" w:rsidP="004F5737">
      <w:pPr>
        <w:ind w:firstLine="708"/>
        <w:rPr>
          <w:rFonts w:cs="Arial"/>
          <w:szCs w:val="28"/>
        </w:rPr>
      </w:pPr>
      <w:r>
        <w:rPr>
          <w:rFonts w:cs="Arial"/>
          <w:szCs w:val="28"/>
        </w:rPr>
        <w:t xml:space="preserve">El texto del artículo impugnado </w:t>
      </w:r>
      <w:r w:rsidR="0082732F">
        <w:rPr>
          <w:rFonts w:cs="Arial"/>
          <w:szCs w:val="28"/>
        </w:rPr>
        <w:t>es del tenor siguiente</w:t>
      </w:r>
      <w:r w:rsidR="00BD7AD6">
        <w:rPr>
          <w:rFonts w:cs="Arial"/>
          <w:szCs w:val="28"/>
        </w:rPr>
        <w:t>:</w:t>
      </w:r>
    </w:p>
    <w:p w:rsidR="0082732F" w:rsidRDefault="0082732F" w:rsidP="004F5737">
      <w:pPr>
        <w:ind w:firstLine="708"/>
        <w:rPr>
          <w:rFonts w:cs="Arial"/>
          <w:szCs w:val="28"/>
        </w:rPr>
      </w:pPr>
    </w:p>
    <w:p w:rsidR="0082732F" w:rsidRDefault="0082732F" w:rsidP="0082732F">
      <w:pPr>
        <w:pStyle w:val="corte5transcripcion"/>
      </w:pPr>
      <w:r w:rsidRPr="0082732F">
        <w:t>Artículo 79. El Consejo General emitirá y dará amplia difusión en la convocatoria que declara iniciado el proceso de registro de las y los ciudadanos interesados en postularse como candidatos independientes, señalando los cargos de elección popular a los que pueden aspirar, los requisitos que deben cumplir, la documentación comprobatoria requerida, los plazos para recabar el apoyo ciudadano correspondiente, para la presentación de las solicitudes de registro, y para la emisión de la resolución sobre la procedencia, o improcedencia en su caso, del otorgamiento de las candidaturas, así como los topes de gastos que pueden erogar y los formatos para ello.</w:t>
      </w:r>
    </w:p>
    <w:p w:rsidR="0082732F" w:rsidRDefault="0082732F" w:rsidP="0082732F">
      <w:pPr>
        <w:pStyle w:val="corte5transcripcion"/>
      </w:pPr>
    </w:p>
    <w:p w:rsidR="0082732F" w:rsidRDefault="0082732F" w:rsidP="0082732F">
      <w:pPr>
        <w:pStyle w:val="corte5transcripcion"/>
      </w:pPr>
      <w:r>
        <w:t xml:space="preserve">Dentro los últimos siete días del mes de octubre del año anterior a la elección, el Consejo General del Instituto acordará los plazos en los que deberán desahogarse los procedimientos a que se refiere este artículo, y podrá al concluir dicho término publicar la convocatoria correspondiente. </w:t>
      </w:r>
    </w:p>
    <w:p w:rsidR="0082732F" w:rsidRPr="00FF42B6" w:rsidRDefault="0082732F" w:rsidP="004F5737">
      <w:pPr>
        <w:ind w:firstLine="708"/>
        <w:rPr>
          <w:rFonts w:cs="Arial"/>
          <w:szCs w:val="28"/>
        </w:rPr>
      </w:pPr>
    </w:p>
    <w:p w:rsidR="004F5737" w:rsidRDefault="0082732F" w:rsidP="00A102FB">
      <w:r w:rsidRPr="008A3900">
        <w:t xml:space="preserve">De la lectura de la </w:t>
      </w:r>
      <w:r w:rsidR="00D52A03" w:rsidRPr="008A3900">
        <w:t>disposición normativa impugnada</w:t>
      </w:r>
      <w:r w:rsidRPr="008A3900">
        <w:t xml:space="preserve"> este Tribunal Pleno considera que tiene razón el partido demandante, ya que la</w:t>
      </w:r>
      <w:r w:rsidR="005C3563" w:rsidRPr="008A3900">
        <w:t>s porciones</w:t>
      </w:r>
      <w:r w:rsidRPr="008A3900">
        <w:t xml:space="preserve"> normativa</w:t>
      </w:r>
      <w:r w:rsidR="005C3563" w:rsidRPr="008A3900">
        <w:t>s</w:t>
      </w:r>
      <w:r w:rsidRPr="008A3900">
        <w:t xml:space="preserve"> </w:t>
      </w:r>
      <w:r w:rsidRPr="008A3900">
        <w:rPr>
          <w:i/>
        </w:rPr>
        <w:t>“Dentro los últimos siete días del mes de octubre del año anterior a la elección”</w:t>
      </w:r>
      <w:r w:rsidRPr="008A3900">
        <w:t xml:space="preserve"> </w:t>
      </w:r>
      <w:r w:rsidR="005C3563" w:rsidRPr="008A3900">
        <w:t xml:space="preserve">y </w:t>
      </w:r>
      <w:r w:rsidR="005C3563" w:rsidRPr="008A3900">
        <w:rPr>
          <w:i/>
        </w:rPr>
        <w:t>“al concluir dicho término”</w:t>
      </w:r>
      <w:r w:rsidR="005C3563" w:rsidRPr="008A3900">
        <w:t xml:space="preserve"> </w:t>
      </w:r>
      <w:r w:rsidRPr="008A3900">
        <w:t>establecida</w:t>
      </w:r>
      <w:r w:rsidR="005C3563" w:rsidRPr="008A3900">
        <w:t>s</w:t>
      </w:r>
      <w:r w:rsidRPr="008A3900">
        <w:t xml:space="preserve"> en el párrafo segundo del artículo 79 de la Ley de Instituciones y Procedimientos Electorales del Estado de Sinaloa </w:t>
      </w:r>
      <w:r w:rsidR="005C3563" w:rsidRPr="008A3900">
        <w:t>son</w:t>
      </w:r>
      <w:r w:rsidRPr="008A3900">
        <w:t xml:space="preserve"> contraria</w:t>
      </w:r>
      <w:r w:rsidR="005C3563" w:rsidRPr="008A3900">
        <w:t>s</w:t>
      </w:r>
      <w:r w:rsidRPr="008A3900">
        <w:t xml:space="preserve"> al principio de certeza electoral en tanto ordena</w:t>
      </w:r>
      <w:r w:rsidR="005C3563" w:rsidRPr="008A3900">
        <w:t>n y posibilitan</w:t>
      </w:r>
      <w:r w:rsidRPr="008A3900">
        <w:t xml:space="preserve"> la realización de actos propios del proceso electoral antes de su inicio formal y material.</w:t>
      </w:r>
      <w:r>
        <w:t xml:space="preserve"> </w:t>
      </w:r>
    </w:p>
    <w:p w:rsidR="002E18A1" w:rsidRDefault="002E18A1" w:rsidP="00A102FB"/>
    <w:p w:rsidR="002E18A1" w:rsidRDefault="002E18A1" w:rsidP="00A102FB">
      <w:r>
        <w:t xml:space="preserve">Al respecto cabe recordar que en el artículo 116, fracción IV, inciso b), de la Constitución General el Constituyente Permanente estableció que los principios de legalidad, imparcialidad, objetividad, certeza e independencia rigen el ejercicio de la función electoral a cargo de las autoridades electorales, lo cual debe reconocerse en las constituciones y leyes electorales de los Estados de la República. </w:t>
      </w:r>
    </w:p>
    <w:p w:rsidR="002E18A1" w:rsidRDefault="002E18A1" w:rsidP="00A102FB"/>
    <w:p w:rsidR="002E18A1" w:rsidRDefault="002E18A1" w:rsidP="00A102FB">
      <w:r>
        <w:t xml:space="preserve">Según lo ha definido este Tribunal Pleno, el principio de certeza electoral </w:t>
      </w:r>
      <w:r w:rsidRPr="002E18A1">
        <w:t>consiste en dotar de facultades expresas a las autoridades locales de modo que todos los participantes en el proceso electoral conozcan previamente con claridad y seguridad las reglas a que su propia actuación y la de las autoridades electorales están sujetas</w:t>
      </w:r>
      <w:r w:rsidR="0051724C">
        <w:rPr>
          <w:rStyle w:val="Refdenotaalpie"/>
        </w:rPr>
        <w:footnoteReference w:id="35"/>
      </w:r>
      <w:r>
        <w:t>.</w:t>
      </w:r>
    </w:p>
    <w:p w:rsidR="002E18A1" w:rsidRDefault="002E18A1" w:rsidP="00A102FB"/>
    <w:p w:rsidR="002E18A1" w:rsidRDefault="002E18A1" w:rsidP="00A102FB">
      <w:r w:rsidRPr="002F2E52">
        <w:t>En ese sentido, la disposición normativa impugnada no permite que los participantes del proceso electoral conozcan con claridad</w:t>
      </w:r>
      <w:r w:rsidR="0051724C" w:rsidRPr="002F2E52">
        <w:t>, seguridad y de forma previa</w:t>
      </w:r>
      <w:r w:rsidRPr="002F2E52">
        <w:t xml:space="preserve"> las reglas a que su propia actuación y la de las autoridades electorales están sujetas, en tanto dispone que </w:t>
      </w:r>
      <w:r w:rsidR="009950E3" w:rsidRPr="002F2E52">
        <w:t xml:space="preserve">el Consejo General del Instituto Electoral del Estado de Sinaloa en el mes de octubre del año previo a la elección debe acordar los plazos en que </w:t>
      </w:r>
      <w:r w:rsidR="0051724C" w:rsidRPr="002F2E52">
        <w:t>serán realizados</w:t>
      </w:r>
      <w:r w:rsidR="009950E3" w:rsidRPr="002F2E52">
        <w:t xml:space="preserve"> los actos relativos al registro de candidatos independientes</w:t>
      </w:r>
      <w:r w:rsidR="0051724C" w:rsidRPr="002F2E52">
        <w:t>,</w:t>
      </w:r>
      <w:r w:rsidR="009950E3" w:rsidRPr="002F2E52">
        <w:t xml:space="preserve"> e incluso le otorga la </w:t>
      </w:r>
      <w:r w:rsidR="0051724C" w:rsidRPr="002F2E52">
        <w:t>posibilidad de publicar la convocatoria correspondiente</w:t>
      </w:r>
      <w:r w:rsidR="00A34563" w:rsidRPr="002F2E52">
        <w:t>, sin que ello guarde congruencia con la fecha del inicio del proceso electoral</w:t>
      </w:r>
      <w:r w:rsidR="00577F41" w:rsidRPr="002F2E52">
        <w:rPr>
          <w:rStyle w:val="Refdenotaalpie"/>
        </w:rPr>
        <w:footnoteReference w:id="36"/>
      </w:r>
      <w:r w:rsidR="00A34563" w:rsidRPr="002F2E52">
        <w:t>.</w:t>
      </w:r>
    </w:p>
    <w:p w:rsidR="00B02801" w:rsidRDefault="00B02801" w:rsidP="00A102FB"/>
    <w:p w:rsidR="00A34563" w:rsidRPr="008A3900" w:rsidRDefault="00A34563" w:rsidP="00A102FB">
      <w:r>
        <w:t>En consecuencia, este Tribunal Pleno declara la invalidez de la</w:t>
      </w:r>
      <w:r w:rsidR="005C3563">
        <w:t>s porciones</w:t>
      </w:r>
      <w:r>
        <w:t xml:space="preserve"> normativa</w:t>
      </w:r>
      <w:r w:rsidR="005C3563">
        <w:t>s</w:t>
      </w:r>
      <w:r>
        <w:t xml:space="preserve"> </w:t>
      </w:r>
      <w:r w:rsidRPr="0082732F">
        <w:rPr>
          <w:i/>
        </w:rPr>
        <w:t xml:space="preserve">“Dentro los últimos siete días del mes de octubre del año anterior </w:t>
      </w:r>
      <w:r w:rsidRPr="008A3900">
        <w:rPr>
          <w:i/>
        </w:rPr>
        <w:t>a la elección”</w:t>
      </w:r>
      <w:r w:rsidR="005C3563" w:rsidRPr="008A3900">
        <w:rPr>
          <w:i/>
        </w:rPr>
        <w:t xml:space="preserve"> </w:t>
      </w:r>
      <w:r w:rsidR="005C3563" w:rsidRPr="008A3900">
        <w:t>y</w:t>
      </w:r>
      <w:r w:rsidR="005C3563" w:rsidRPr="008A3900">
        <w:rPr>
          <w:i/>
        </w:rPr>
        <w:t xml:space="preserve"> “al concluir dicho término”</w:t>
      </w:r>
      <w:r w:rsidR="005C3563" w:rsidRPr="008A3900">
        <w:t xml:space="preserve"> </w:t>
      </w:r>
      <w:r w:rsidRPr="008A3900">
        <w:rPr>
          <w:i/>
        </w:rPr>
        <w:t xml:space="preserve"> </w:t>
      </w:r>
      <w:r w:rsidRPr="008A3900">
        <w:t xml:space="preserve">del párrafo segundo del artículo 79 de la Ley de Instituciones y Procedimientos Electorales del Estado de Sinaloa. </w:t>
      </w:r>
    </w:p>
    <w:p w:rsidR="00A34563" w:rsidRPr="008A3900" w:rsidRDefault="00A34563" w:rsidP="00A102FB"/>
    <w:p w:rsidR="00A34563" w:rsidRPr="008A3900" w:rsidRDefault="00654E15" w:rsidP="00654E15">
      <w:pPr>
        <w:pStyle w:val="Ttulo4"/>
      </w:pPr>
      <w:r w:rsidRPr="008A3900">
        <w:t>3</w:t>
      </w:r>
      <w:r w:rsidR="00A34563" w:rsidRPr="008A3900">
        <w:t xml:space="preserve">. </w:t>
      </w:r>
      <w:r w:rsidR="00EB640F" w:rsidRPr="008A3900">
        <w:t>Invasión de competencia del Congreso de la Unión y el Consejo de Salubridad</w:t>
      </w:r>
    </w:p>
    <w:p w:rsidR="00EB640F" w:rsidRPr="008A3900" w:rsidRDefault="00EB640F" w:rsidP="00A102FB"/>
    <w:p w:rsidR="00EB640F" w:rsidRPr="00EB640F" w:rsidRDefault="00EB640F" w:rsidP="00EB640F">
      <w:pPr>
        <w:ind w:firstLine="708"/>
        <w:rPr>
          <w:rFonts w:cs="Arial"/>
          <w:szCs w:val="28"/>
        </w:rPr>
      </w:pPr>
      <w:r w:rsidRPr="008A3900">
        <w:rPr>
          <w:rFonts w:cs="Arial"/>
          <w:szCs w:val="28"/>
        </w:rPr>
        <w:t xml:space="preserve">En su tercer concepto de invalidez el partido local impugna los artículos </w:t>
      </w:r>
      <w:r w:rsidRPr="008A3900">
        <w:t xml:space="preserve">18, </w:t>
      </w:r>
      <w:r w:rsidR="00160DD7" w:rsidRPr="008A3900">
        <w:t xml:space="preserve">párrafo </w:t>
      </w:r>
      <w:r w:rsidRPr="008A3900">
        <w:t xml:space="preserve">segundo; 36, </w:t>
      </w:r>
      <w:r w:rsidR="00160DD7" w:rsidRPr="008A3900">
        <w:t xml:space="preserve">párrafo </w:t>
      </w:r>
      <w:r w:rsidR="002F2E52" w:rsidRPr="008A3900">
        <w:t>noveno</w:t>
      </w:r>
      <w:r w:rsidRPr="008A3900">
        <w:t xml:space="preserve">; </w:t>
      </w:r>
      <w:r w:rsidR="005C3563" w:rsidRPr="008A3900">
        <w:rPr>
          <w:rFonts w:cs="Arial"/>
          <w:bCs/>
          <w:szCs w:val="28"/>
        </w:rPr>
        <w:t>79, párrafo segundo;</w:t>
      </w:r>
      <w:r w:rsidR="005C3563" w:rsidRPr="008A3900">
        <w:t xml:space="preserve"> </w:t>
      </w:r>
      <w:r w:rsidRPr="008A3900">
        <w:t xml:space="preserve">142, </w:t>
      </w:r>
      <w:r w:rsidR="00160DD7" w:rsidRPr="008A3900">
        <w:t xml:space="preserve">párrafo </w:t>
      </w:r>
      <w:r w:rsidR="002F2E52" w:rsidRPr="008A3900">
        <w:t>primer</w:t>
      </w:r>
      <w:r w:rsidR="00160DD7" w:rsidRPr="008A3900">
        <w:t>o</w:t>
      </w:r>
      <w:r w:rsidRPr="008A3900">
        <w:t xml:space="preserve">; 146, </w:t>
      </w:r>
      <w:r w:rsidR="00F84FCD" w:rsidRPr="008A3900">
        <w:t>fracciones IV y</w:t>
      </w:r>
      <w:r w:rsidRPr="008A3900">
        <w:t xml:space="preserve"> XXIV</w:t>
      </w:r>
      <w:r w:rsidRPr="00EB640F">
        <w:t xml:space="preserve"> Bis; 153 y 161 de la Ley de Instituciones y Procedimientos Electorales del Estado de </w:t>
      </w:r>
      <w:r w:rsidRPr="00EB640F">
        <w:rPr>
          <w:rFonts w:cs="Arial"/>
          <w:bCs/>
          <w:szCs w:val="28"/>
        </w:rPr>
        <w:t>Sinaloa, así como el artículo único transitorio del decreto 454</w:t>
      </w:r>
      <w:r>
        <w:rPr>
          <w:rFonts w:cs="Arial"/>
          <w:bCs/>
          <w:szCs w:val="28"/>
        </w:rPr>
        <w:t>,</w:t>
      </w:r>
      <w:r w:rsidRPr="00EB640F">
        <w:rPr>
          <w:rFonts w:cs="Arial"/>
          <w:szCs w:val="28"/>
        </w:rPr>
        <w:t xml:space="preserve"> porque considera que el Congreso local invadió la competencia del Congreso de la Unión debido a que llevó a cabo procesos parlamentarios tendientes a regular aspectos de salubridad, como lo son las epidemias, propios del Congreso de la Unión.</w:t>
      </w:r>
    </w:p>
    <w:p w:rsidR="00EB640F" w:rsidRDefault="00EB640F" w:rsidP="00EB640F">
      <w:pPr>
        <w:ind w:firstLine="708"/>
        <w:rPr>
          <w:rFonts w:cs="Arial"/>
          <w:szCs w:val="28"/>
        </w:rPr>
      </w:pPr>
    </w:p>
    <w:p w:rsidR="00EB640F" w:rsidRDefault="00EB640F" w:rsidP="00EB640F">
      <w:pPr>
        <w:ind w:firstLine="708"/>
        <w:rPr>
          <w:rFonts w:cs="Arial"/>
          <w:szCs w:val="28"/>
        </w:rPr>
      </w:pPr>
      <w:r>
        <w:rPr>
          <w:rFonts w:cs="Arial"/>
          <w:szCs w:val="28"/>
        </w:rPr>
        <w:t>Además, al modificar las fechas de la emisión de la convocatoria por la pandemia del COVID-19, el Congreso local también invadió la esfera de competencias del Consejo de Salubridad General y de la Secretaría de Salud.</w:t>
      </w:r>
    </w:p>
    <w:p w:rsidR="00EB640F" w:rsidRDefault="00EB640F" w:rsidP="00EB640F">
      <w:pPr>
        <w:ind w:firstLine="708"/>
        <w:rPr>
          <w:rFonts w:cs="Arial"/>
          <w:szCs w:val="28"/>
        </w:rPr>
      </w:pPr>
    </w:p>
    <w:p w:rsidR="00EB640F" w:rsidRDefault="00403E5E" w:rsidP="00EB640F">
      <w:pPr>
        <w:ind w:firstLine="708"/>
        <w:rPr>
          <w:rFonts w:cs="Arial"/>
          <w:szCs w:val="28"/>
        </w:rPr>
      </w:pPr>
      <w:r w:rsidRPr="00160DD7">
        <w:rPr>
          <w:rFonts w:cs="Arial"/>
          <w:szCs w:val="28"/>
        </w:rPr>
        <w:t>A juicio de este Tribunal Pleno, el argumento del partido demandante es infundado en tanto que las disposiciones normativas reformadas mediante el decreto impugnado no guardan relación alguna con las facultades del Congreso de la Unión, el Consejo de Salubridad Ge</w:t>
      </w:r>
      <w:r w:rsidR="00610F37" w:rsidRPr="00160DD7">
        <w:rPr>
          <w:rFonts w:cs="Arial"/>
          <w:szCs w:val="28"/>
        </w:rPr>
        <w:t>neral y la Secretar</w:t>
      </w:r>
      <w:r w:rsidR="00B052F5" w:rsidRPr="00160DD7">
        <w:rPr>
          <w:rFonts w:cs="Arial"/>
          <w:szCs w:val="28"/>
        </w:rPr>
        <w:t>ía de Salud, en materia de salubridad</w:t>
      </w:r>
      <w:r w:rsidR="00610F37" w:rsidRPr="00160DD7">
        <w:rPr>
          <w:rFonts w:cs="Arial"/>
          <w:szCs w:val="28"/>
        </w:rPr>
        <w:t>.</w:t>
      </w:r>
    </w:p>
    <w:p w:rsidR="00EB640F" w:rsidRDefault="00EB640F" w:rsidP="00EB640F">
      <w:pPr>
        <w:ind w:firstLine="708"/>
        <w:rPr>
          <w:rFonts w:cs="Arial"/>
          <w:szCs w:val="28"/>
        </w:rPr>
      </w:pPr>
    </w:p>
    <w:p w:rsidR="00403E5E" w:rsidRDefault="00403E5E" w:rsidP="00EB640F">
      <w:pPr>
        <w:ind w:firstLine="708"/>
        <w:rPr>
          <w:rFonts w:cs="Arial"/>
          <w:szCs w:val="28"/>
        </w:rPr>
      </w:pPr>
      <w:r>
        <w:rPr>
          <w:rFonts w:cs="Arial"/>
          <w:szCs w:val="28"/>
        </w:rPr>
        <w:t>En el artículo 73, fracción XVI, de la Constitución General están previstas las facultades del Congreso de la Unión para emitir leyes sobre salubridad general de la República, la existencia del Consejo de Salubridad General y su dependencia directa del Presidente de la República y la obligación de la Secretaría de Salud de dictar inmediatamente las medidas preventivas indispensables en caso de epidemias graves</w:t>
      </w:r>
      <w:r>
        <w:rPr>
          <w:rStyle w:val="Refdenotaalpie"/>
          <w:rFonts w:cs="Arial"/>
          <w:szCs w:val="28"/>
        </w:rPr>
        <w:footnoteReference w:id="37"/>
      </w:r>
      <w:r>
        <w:rPr>
          <w:rFonts w:cs="Arial"/>
          <w:szCs w:val="28"/>
        </w:rPr>
        <w:t xml:space="preserve">. </w:t>
      </w:r>
    </w:p>
    <w:p w:rsidR="00EB640F" w:rsidRDefault="00EB640F" w:rsidP="00EB640F">
      <w:pPr>
        <w:ind w:firstLine="708"/>
        <w:rPr>
          <w:rFonts w:cs="Arial"/>
          <w:szCs w:val="28"/>
        </w:rPr>
      </w:pPr>
    </w:p>
    <w:p w:rsidR="00CB3F35" w:rsidRDefault="00CB3F35" w:rsidP="00EB640F">
      <w:pPr>
        <w:ind w:firstLine="708"/>
        <w:rPr>
          <w:rFonts w:cs="Arial"/>
          <w:szCs w:val="28"/>
        </w:rPr>
      </w:pPr>
      <w:r>
        <w:rPr>
          <w:rFonts w:cs="Arial"/>
          <w:szCs w:val="28"/>
        </w:rPr>
        <w:t>Esta última disposición normativa es reiterada en el artículo 181 de la Ley General de Salud, en el cual el Congreso de la Unión previó que e</w:t>
      </w:r>
      <w:r w:rsidRPr="00CB3F35">
        <w:rPr>
          <w:rFonts w:cs="Arial"/>
          <w:szCs w:val="28"/>
        </w:rPr>
        <w:t>n caso de epidemia de carácter grave, la Secretaría de Salud dictará inmediatamente las</w:t>
      </w:r>
      <w:r>
        <w:rPr>
          <w:rFonts w:cs="Arial"/>
          <w:szCs w:val="28"/>
        </w:rPr>
        <w:t xml:space="preserve"> </w:t>
      </w:r>
      <w:r w:rsidRPr="00CB3F35">
        <w:rPr>
          <w:rFonts w:cs="Arial"/>
          <w:szCs w:val="28"/>
        </w:rPr>
        <w:t>medidas indispensables para prevenir y c</w:t>
      </w:r>
      <w:r>
        <w:rPr>
          <w:rFonts w:cs="Arial"/>
          <w:szCs w:val="28"/>
        </w:rPr>
        <w:t>ombatir los  daños a la salud,</w:t>
      </w:r>
      <w:r w:rsidRPr="00CB3F35">
        <w:rPr>
          <w:rFonts w:cs="Arial"/>
          <w:szCs w:val="28"/>
        </w:rPr>
        <w:t xml:space="preserve"> a reserva  de que tales medidas  sean</w:t>
      </w:r>
      <w:r>
        <w:rPr>
          <w:rFonts w:cs="Arial"/>
          <w:szCs w:val="28"/>
        </w:rPr>
        <w:t xml:space="preserve"> </w:t>
      </w:r>
      <w:r w:rsidRPr="00CB3F35">
        <w:rPr>
          <w:rFonts w:cs="Arial"/>
          <w:szCs w:val="28"/>
        </w:rPr>
        <w:t>después sancionadas por el Presidente de la República</w:t>
      </w:r>
      <w:r>
        <w:rPr>
          <w:rFonts w:cs="Arial"/>
          <w:szCs w:val="28"/>
        </w:rPr>
        <w:t>.</w:t>
      </w:r>
    </w:p>
    <w:p w:rsidR="00CB3F35" w:rsidRDefault="00CB3F35" w:rsidP="00EB640F">
      <w:pPr>
        <w:ind w:firstLine="708"/>
        <w:rPr>
          <w:rFonts w:cs="Arial"/>
          <w:szCs w:val="28"/>
        </w:rPr>
      </w:pPr>
    </w:p>
    <w:p w:rsidR="00CB3F35" w:rsidRDefault="00CB3F35" w:rsidP="00EB640F">
      <w:pPr>
        <w:ind w:firstLine="708"/>
      </w:pPr>
      <w:r>
        <w:rPr>
          <w:rFonts w:cs="Arial"/>
          <w:szCs w:val="28"/>
        </w:rPr>
        <w:t xml:space="preserve">Por su parte, como fue mencionado, las disposiciones normativas impugnadas tiene relación con </w:t>
      </w:r>
      <w:r w:rsidR="00C47663">
        <w:t>las fechas en que serán llevados a cabo distintos actos dentro del proceso electoral, la participación de los partidos políticos nacionales en la elección local o los requisitos y trámites que deben cumplir los ciudadanos que quieren postularse como candidatos independientes.</w:t>
      </w:r>
    </w:p>
    <w:p w:rsidR="00C47663" w:rsidRDefault="00C47663" w:rsidP="00EB640F">
      <w:pPr>
        <w:ind w:firstLine="708"/>
      </w:pPr>
    </w:p>
    <w:p w:rsidR="00C47663" w:rsidRDefault="00C47663" w:rsidP="00EB640F">
      <w:pPr>
        <w:ind w:firstLine="708"/>
      </w:pPr>
      <w:r>
        <w:t>De ahí que este Tribunal Pleno no advierta cómo es que dichas disposiciones normativas invaden la esfera de competencias del Congreso de la Unión, el Consejo General de Salubridad o la Secretaria de Salud, pues los aspectos regulados no guardan relación alguna con medidas para prevenir y combatir daños a la salud en caso de epidemias, por lo cual el argumento formulado por el partido político demandante en ese sentido es infundado.</w:t>
      </w:r>
    </w:p>
    <w:p w:rsidR="00C47663" w:rsidRDefault="00C47663" w:rsidP="00EB640F">
      <w:pPr>
        <w:ind w:firstLine="708"/>
      </w:pPr>
    </w:p>
    <w:p w:rsidR="00C47663" w:rsidRPr="000E5667" w:rsidRDefault="00143D16" w:rsidP="00654E15">
      <w:pPr>
        <w:pStyle w:val="Ttulo4"/>
      </w:pPr>
      <w:r>
        <w:t>4</w:t>
      </w:r>
      <w:r w:rsidR="00584618">
        <w:t>. Vulneración al pluralismo jurídico</w:t>
      </w:r>
    </w:p>
    <w:p w:rsidR="00EB640F" w:rsidRPr="00B869F9" w:rsidRDefault="00EB640F" w:rsidP="00EB640F">
      <w:pPr>
        <w:ind w:firstLine="708"/>
        <w:rPr>
          <w:rFonts w:cs="Arial"/>
          <w:szCs w:val="28"/>
        </w:rPr>
      </w:pPr>
    </w:p>
    <w:p w:rsidR="00EB640F" w:rsidRDefault="00EB640F" w:rsidP="00EB640F">
      <w:pPr>
        <w:ind w:firstLine="708"/>
        <w:rPr>
          <w:rFonts w:cs="Arial"/>
          <w:szCs w:val="28"/>
        </w:rPr>
      </w:pPr>
      <w:r w:rsidRPr="00595DDC">
        <w:rPr>
          <w:rFonts w:cs="Arial"/>
          <w:szCs w:val="28"/>
        </w:rPr>
        <w:t xml:space="preserve">En su cuarto concepto de invalidez, el Partido Sinaloense impugna los artículos </w:t>
      </w:r>
      <w:r w:rsidR="005C3563" w:rsidRPr="00595DDC">
        <w:rPr>
          <w:rFonts w:cs="Arial"/>
          <w:szCs w:val="28"/>
        </w:rPr>
        <w:t xml:space="preserve">los artículos </w:t>
      </w:r>
      <w:r w:rsidR="005C3563" w:rsidRPr="00595DDC">
        <w:t xml:space="preserve">18, párrafo segundo; 36, párrafo noveno; </w:t>
      </w:r>
      <w:r w:rsidR="005C3563" w:rsidRPr="00595DDC">
        <w:rPr>
          <w:rFonts w:cs="Arial"/>
          <w:bCs/>
          <w:szCs w:val="28"/>
        </w:rPr>
        <w:t>79, párrafo segundo;</w:t>
      </w:r>
      <w:r w:rsidR="005C3563" w:rsidRPr="00595DDC">
        <w:t xml:space="preserve"> 142, párrafo primero; 146, fracciones IV y XXIV Bis; 153 y 161</w:t>
      </w:r>
      <w:r w:rsidR="00584618" w:rsidRPr="00595DDC">
        <w:t xml:space="preserve"> de la Ley de Instituciones y Procedimientos Electorales del Estado de </w:t>
      </w:r>
      <w:r w:rsidR="00584618" w:rsidRPr="00595DDC">
        <w:rPr>
          <w:rFonts w:cs="Arial"/>
          <w:bCs/>
          <w:szCs w:val="28"/>
        </w:rPr>
        <w:t>Sinaloa, así como el artículo único transitorio del decreto 454</w:t>
      </w:r>
      <w:r w:rsidRPr="00595DDC">
        <w:rPr>
          <w:rFonts w:cs="Arial"/>
          <w:bCs/>
          <w:szCs w:val="28"/>
        </w:rPr>
        <w:t xml:space="preserve"> </w:t>
      </w:r>
      <w:r w:rsidRPr="00595DDC">
        <w:rPr>
          <w:rFonts w:cs="Arial"/>
          <w:szCs w:val="28"/>
        </w:rPr>
        <w:t>por vulnera</w:t>
      </w:r>
      <w:r w:rsidR="00584618" w:rsidRPr="00595DDC">
        <w:rPr>
          <w:rFonts w:cs="Arial"/>
          <w:szCs w:val="28"/>
        </w:rPr>
        <w:t>r</w:t>
      </w:r>
      <w:r w:rsidRPr="00595DDC">
        <w:rPr>
          <w:rFonts w:cs="Arial"/>
          <w:szCs w:val="28"/>
        </w:rPr>
        <w:t xml:space="preserve"> el pluralismo jurídico.</w:t>
      </w:r>
    </w:p>
    <w:p w:rsidR="00584618" w:rsidRDefault="00584618" w:rsidP="00EB640F">
      <w:pPr>
        <w:ind w:firstLine="708"/>
        <w:rPr>
          <w:rFonts w:cs="Arial"/>
          <w:szCs w:val="28"/>
        </w:rPr>
      </w:pPr>
    </w:p>
    <w:p w:rsidR="00584618" w:rsidRPr="00611D8B" w:rsidRDefault="00584618" w:rsidP="00584618">
      <w:pPr>
        <w:ind w:firstLine="708"/>
        <w:rPr>
          <w:rFonts w:cs="Arial"/>
          <w:szCs w:val="28"/>
        </w:rPr>
      </w:pPr>
      <w:r>
        <w:rPr>
          <w:rFonts w:cs="Arial"/>
          <w:szCs w:val="28"/>
        </w:rPr>
        <w:t>Desde su perspectiva, las disposiciones normativas impugnadas</w:t>
      </w:r>
      <w:r w:rsidRPr="00611D8B">
        <w:rPr>
          <w:rFonts w:cs="Arial"/>
          <w:szCs w:val="28"/>
        </w:rPr>
        <w:t xml:space="preserve"> menoscaban la libre determinación y autonom</w:t>
      </w:r>
      <w:r>
        <w:rPr>
          <w:rFonts w:cs="Arial"/>
          <w:szCs w:val="28"/>
        </w:rPr>
        <w:t>ía de las comunidades indígenas e</w:t>
      </w:r>
      <w:r w:rsidRPr="00611D8B">
        <w:rPr>
          <w:rFonts w:cs="Arial"/>
          <w:szCs w:val="28"/>
        </w:rPr>
        <w:t xml:space="preserve"> infringen el pluralismo jurídico </w:t>
      </w:r>
      <w:r>
        <w:rPr>
          <w:rFonts w:cs="Arial"/>
          <w:szCs w:val="28"/>
        </w:rPr>
        <w:t>porque incrustan un proceso electivo</w:t>
      </w:r>
      <w:r w:rsidRPr="00611D8B">
        <w:rPr>
          <w:rFonts w:cs="Arial"/>
          <w:szCs w:val="28"/>
        </w:rPr>
        <w:t xml:space="preserve"> por usos y costumbres</w:t>
      </w:r>
      <w:r>
        <w:rPr>
          <w:rFonts w:cs="Arial"/>
          <w:szCs w:val="28"/>
        </w:rPr>
        <w:t xml:space="preserve"> dentro de la democracia representativa.</w:t>
      </w:r>
    </w:p>
    <w:p w:rsidR="00584618" w:rsidRPr="005B1A8B" w:rsidRDefault="00584618" w:rsidP="00EB640F">
      <w:pPr>
        <w:ind w:firstLine="708"/>
        <w:rPr>
          <w:rFonts w:cs="Arial"/>
          <w:szCs w:val="28"/>
        </w:rPr>
      </w:pPr>
    </w:p>
    <w:p w:rsidR="00EB640F" w:rsidRDefault="00584618" w:rsidP="00A102FB">
      <w:r>
        <w:t>A juicio de este Tribunal Pleno, el argumento del partido demandante es infundado en tanto las disposiciones normativas impugnadas no regulan aspectos relativos a elecciones por usos y costumbres indígenas, sino que tienen que ver con las fechas en que serán llevados a cabo distintos actos dentro del proceso electoral, la participación de los partidos políticos nacionales en la elección local o los requisitos y trámites que deben cumplir los ciudadanos que quieren postularse como candidatos independientes.</w:t>
      </w:r>
    </w:p>
    <w:p w:rsidR="00584618" w:rsidRDefault="00584618" w:rsidP="00A102FB"/>
    <w:p w:rsidR="00584618" w:rsidRDefault="00584618" w:rsidP="00A102FB">
      <w:pPr>
        <w:rPr>
          <w:rFonts w:cs="Arial"/>
          <w:bCs/>
          <w:szCs w:val="28"/>
        </w:rPr>
      </w:pPr>
      <w:r>
        <w:t xml:space="preserve">En consecuencia, es infundado el concepto de invalidez planteado por el partido demandante y este Tribunal Pleno reconoce la validez de los artículos </w:t>
      </w:r>
      <w:r w:rsidRPr="00EB640F">
        <w:t xml:space="preserve">18, segundo párrafo; 36, párrafo noveno; 142, párrafo primero; 146, fracción XXIV Bis; 153 y 161 de la Ley de Instituciones y Procedimientos Electorales del Estado de </w:t>
      </w:r>
      <w:r w:rsidRPr="00EB640F">
        <w:rPr>
          <w:rFonts w:cs="Arial"/>
          <w:bCs/>
          <w:szCs w:val="28"/>
        </w:rPr>
        <w:t>Sinaloa, así como el artículo único transitorio del decreto 454</w:t>
      </w:r>
      <w:r>
        <w:rPr>
          <w:rFonts w:cs="Arial"/>
          <w:bCs/>
          <w:szCs w:val="28"/>
        </w:rPr>
        <w:t>.</w:t>
      </w:r>
    </w:p>
    <w:p w:rsidR="00584618" w:rsidRDefault="00584618" w:rsidP="00A102FB">
      <w:pPr>
        <w:rPr>
          <w:rFonts w:cs="Arial"/>
          <w:bCs/>
          <w:szCs w:val="28"/>
        </w:rPr>
      </w:pPr>
    </w:p>
    <w:p w:rsidR="00305038" w:rsidRPr="00305038" w:rsidRDefault="00584618" w:rsidP="00305038">
      <w:pPr>
        <w:pStyle w:val="Ttulo2"/>
        <w:rPr>
          <w:b w:val="0"/>
        </w:rPr>
      </w:pPr>
      <w:r>
        <w:t>SEPTIMO. Efectos</w:t>
      </w:r>
      <w:r w:rsidR="00AE15C4">
        <w:t>.</w:t>
      </w:r>
      <w:r w:rsidR="00AE15C4" w:rsidRPr="00AE15C4">
        <w:tab/>
      </w:r>
      <w:r w:rsidR="00AE15C4" w:rsidRPr="00305038">
        <w:rPr>
          <w:b w:val="0"/>
        </w:rPr>
        <w:t>E</w:t>
      </w:r>
      <w:r w:rsidR="00305038" w:rsidRPr="00305038">
        <w:rPr>
          <w:b w:val="0"/>
        </w:rPr>
        <w:t>n e</w:t>
      </w:r>
      <w:r w:rsidR="00AE15C4" w:rsidRPr="00305038">
        <w:rPr>
          <w:b w:val="0"/>
        </w:rPr>
        <w:t>l artículo 73, en relación con los numerales 41, 43, 44 y 45, de la ley de la materia</w:t>
      </w:r>
      <w:r w:rsidR="00AE15C4" w:rsidRPr="00305038">
        <w:rPr>
          <w:rStyle w:val="Refdenotaalpie"/>
          <w:rFonts w:cs="Arial"/>
          <w:b w:val="0"/>
          <w:bCs w:val="0"/>
          <w:szCs w:val="28"/>
        </w:rPr>
        <w:footnoteReference w:id="38"/>
      </w:r>
      <w:r w:rsidR="00305038" w:rsidRPr="00305038">
        <w:rPr>
          <w:b w:val="0"/>
        </w:rPr>
        <w:t>, es señalado</w:t>
      </w:r>
      <w:r w:rsidR="00AE15C4" w:rsidRPr="00305038">
        <w:rPr>
          <w:b w:val="0"/>
        </w:rPr>
        <w:t xml:space="preserve"> que las sentencias deberán contener </w:t>
      </w:r>
      <w:r w:rsidR="00305038" w:rsidRPr="00305038">
        <w:rPr>
          <w:b w:val="0"/>
        </w:rPr>
        <w:t>sus</w:t>
      </w:r>
      <w:r w:rsidR="00AE15C4" w:rsidRPr="00305038">
        <w:rPr>
          <w:b w:val="0"/>
        </w:rPr>
        <w:t xml:space="preserve"> alcances y efectos </w:t>
      </w:r>
      <w:r w:rsidR="006959C2">
        <w:rPr>
          <w:b w:val="0"/>
        </w:rPr>
        <w:t xml:space="preserve">fijando </w:t>
      </w:r>
      <w:r w:rsidR="00AE15C4" w:rsidRPr="00305038">
        <w:rPr>
          <w:b w:val="0"/>
        </w:rPr>
        <w:t xml:space="preserve">con precisión los órganos obligados a cumplirla, las </w:t>
      </w:r>
      <w:r w:rsidR="00305038" w:rsidRPr="00305038">
        <w:rPr>
          <w:b w:val="0"/>
        </w:rPr>
        <w:t>disposiciones</w:t>
      </w:r>
      <w:r w:rsidR="00AE15C4" w:rsidRPr="00305038">
        <w:rPr>
          <w:b w:val="0"/>
        </w:rPr>
        <w:t xml:space="preserve"> generales respecto de l</w:t>
      </w:r>
      <w:r w:rsidR="006959C2">
        <w:rPr>
          <w:b w:val="0"/>
        </w:rPr>
        <w:t>a</w:t>
      </w:r>
      <w:r w:rsidR="00AE15C4" w:rsidRPr="00305038">
        <w:rPr>
          <w:b w:val="0"/>
        </w:rPr>
        <w:t xml:space="preserve">s cuales opere y todos aquellos elementos necesarios para su plena eficacia en el ámbito que corresponda. </w:t>
      </w:r>
    </w:p>
    <w:p w:rsidR="00305038" w:rsidRDefault="00305038" w:rsidP="00A102FB">
      <w:pPr>
        <w:rPr>
          <w:rFonts w:cs="Arial"/>
          <w:bCs/>
          <w:szCs w:val="28"/>
        </w:rPr>
      </w:pPr>
    </w:p>
    <w:p w:rsidR="00584618" w:rsidRDefault="00305038" w:rsidP="00A102FB">
      <w:pPr>
        <w:rPr>
          <w:rFonts w:cs="Arial"/>
          <w:bCs/>
          <w:szCs w:val="28"/>
        </w:rPr>
      </w:pPr>
      <w:r>
        <w:rPr>
          <w:rFonts w:cs="Arial"/>
          <w:bCs/>
          <w:szCs w:val="28"/>
        </w:rPr>
        <w:t>Asimismo,</w:t>
      </w:r>
      <w:r w:rsidR="00AE15C4" w:rsidRPr="00AE15C4">
        <w:rPr>
          <w:rFonts w:cs="Arial"/>
          <w:bCs/>
          <w:szCs w:val="28"/>
        </w:rPr>
        <w:t xml:space="preserve"> </w:t>
      </w:r>
      <w:r>
        <w:rPr>
          <w:rFonts w:cs="Arial"/>
          <w:bCs/>
          <w:szCs w:val="28"/>
        </w:rPr>
        <w:t xml:space="preserve">es establecido </w:t>
      </w:r>
      <w:r w:rsidR="00AE15C4" w:rsidRPr="00AE15C4">
        <w:rPr>
          <w:rFonts w:cs="Arial"/>
          <w:bCs/>
          <w:szCs w:val="28"/>
        </w:rPr>
        <w:t>que las sentencias producirán sus efectos a partir de la fecha que determine la Suprema Corte y que la declaración de invalidez no tendrá efectos retroactivos, salvo en materia penal.</w:t>
      </w:r>
    </w:p>
    <w:p w:rsidR="00305038" w:rsidRDefault="00305038" w:rsidP="00A102FB">
      <w:pPr>
        <w:rPr>
          <w:rFonts w:cs="Arial"/>
          <w:bCs/>
          <w:szCs w:val="28"/>
        </w:rPr>
      </w:pPr>
    </w:p>
    <w:p w:rsidR="00305038" w:rsidRDefault="00305038" w:rsidP="00305038">
      <w:r w:rsidRPr="00AB3159">
        <w:rPr>
          <w:rFonts w:cs="Arial"/>
          <w:bCs/>
          <w:szCs w:val="28"/>
        </w:rPr>
        <w:t>En ese sentido, la declaración de invalidez de la</w:t>
      </w:r>
      <w:r w:rsidR="00BF7531" w:rsidRPr="00AB3159">
        <w:rPr>
          <w:rFonts w:cs="Arial"/>
          <w:bCs/>
          <w:szCs w:val="28"/>
        </w:rPr>
        <w:t>s porciones</w:t>
      </w:r>
      <w:r w:rsidRPr="00AB3159">
        <w:rPr>
          <w:rFonts w:cs="Arial"/>
          <w:bCs/>
          <w:szCs w:val="28"/>
        </w:rPr>
        <w:t xml:space="preserve"> normativa</w:t>
      </w:r>
      <w:r w:rsidR="00BF7531" w:rsidRPr="00AB3159">
        <w:rPr>
          <w:rFonts w:cs="Arial"/>
          <w:bCs/>
          <w:szCs w:val="28"/>
        </w:rPr>
        <w:t>s</w:t>
      </w:r>
      <w:r w:rsidRPr="00AB3159">
        <w:rPr>
          <w:rFonts w:cs="Arial"/>
          <w:bCs/>
          <w:szCs w:val="28"/>
        </w:rPr>
        <w:t xml:space="preserve"> </w:t>
      </w:r>
      <w:r w:rsidRPr="00AB3159">
        <w:rPr>
          <w:i/>
        </w:rPr>
        <w:t>“Dentro los últimos siete días del mes de octubre del año anterior a la elección”</w:t>
      </w:r>
      <w:r w:rsidR="00BF7531" w:rsidRPr="00AB3159">
        <w:rPr>
          <w:i/>
        </w:rPr>
        <w:t xml:space="preserve"> </w:t>
      </w:r>
      <w:r w:rsidR="00BF7531" w:rsidRPr="00AB3159">
        <w:t xml:space="preserve">y </w:t>
      </w:r>
      <w:r w:rsidR="00BF7531" w:rsidRPr="00AB3159">
        <w:rPr>
          <w:i/>
        </w:rPr>
        <w:t>“al concluir dicho término”</w:t>
      </w:r>
      <w:r w:rsidRPr="00AB3159">
        <w:rPr>
          <w:i/>
        </w:rPr>
        <w:t xml:space="preserve"> </w:t>
      </w:r>
      <w:r w:rsidRPr="00AB3159">
        <w:t>del párrafo segundo del artículo 79 de la Ley de Instituciones y Procedimientos Electorales del Estado de Sinaloa surtirá efectos generales a partir de que se notifiquen los resolutivos de esta sentencia al Congreso del Estado de Sinaloa.</w:t>
      </w:r>
    </w:p>
    <w:p w:rsidR="00305038" w:rsidRDefault="00305038" w:rsidP="00305038">
      <w:pPr>
        <w:tabs>
          <w:tab w:val="left" w:pos="2820"/>
        </w:tabs>
      </w:pPr>
      <w:r>
        <w:tab/>
      </w:r>
    </w:p>
    <w:p w:rsidR="00305038" w:rsidRDefault="00305038" w:rsidP="00305038">
      <w:r>
        <w:t>Por lo expuesto y fundado, se</w:t>
      </w:r>
    </w:p>
    <w:p w:rsidR="00305038" w:rsidRDefault="00305038" w:rsidP="00305038"/>
    <w:p w:rsidR="00305038" w:rsidRDefault="00305038" w:rsidP="00575927">
      <w:pPr>
        <w:pStyle w:val="Ttulo1"/>
        <w:ind w:left="0" w:firstLine="0"/>
        <w:jc w:val="center"/>
      </w:pPr>
      <w:r>
        <w:t>R E S U E L V E</w:t>
      </w:r>
    </w:p>
    <w:p w:rsidR="00305038" w:rsidRDefault="00305038" w:rsidP="00305038"/>
    <w:p w:rsidR="00575927" w:rsidRPr="00575927" w:rsidRDefault="00575927" w:rsidP="00991669">
      <w:r w:rsidRPr="00575927">
        <w:rPr>
          <w:b/>
        </w:rPr>
        <w:t xml:space="preserve">PRIMERO. </w:t>
      </w:r>
      <w:r w:rsidRPr="00575927">
        <w:t xml:space="preserve">Es parcialmente procedente y parcialmente fundada la presente acción de inconstitucionalidad y su acumulada. </w:t>
      </w:r>
    </w:p>
    <w:p w:rsidR="00575927" w:rsidRDefault="00575927" w:rsidP="00991669">
      <w:pPr>
        <w:rPr>
          <w:b/>
        </w:rPr>
      </w:pPr>
    </w:p>
    <w:p w:rsidR="00575927" w:rsidRDefault="00575927" w:rsidP="00991669">
      <w:pPr>
        <w:rPr>
          <w:b/>
        </w:rPr>
      </w:pPr>
      <w:r w:rsidRPr="00575927">
        <w:rPr>
          <w:b/>
        </w:rPr>
        <w:t xml:space="preserve">SEGUNDO. </w:t>
      </w:r>
      <w:r w:rsidRPr="00575927">
        <w:t>Se sobresee en la presente acción de inconstitucionalidad y su acumulada respecto de la reforma de los artículos 36, párrafo segundo, 80, párrafo segundo, y 146, fracción III, de la adición del artículo 80, párrafo tercero, y de la derogación del artículo 36, párrafos tercero, cuarto, quinto, sexto y décimo, de la Ley de Instituciones y Procedimientos Electorales del Estado de Sinaloa, realizada mediante el Decreto Número 454, publicado en el Periódico Oficial de dicha entidad federativa el cinco de junio de dos mil veinte, en términos del considerando cuarto de esta decisión.</w:t>
      </w:r>
      <w:r w:rsidRPr="00575927">
        <w:rPr>
          <w:b/>
        </w:rPr>
        <w:t xml:space="preserve"> </w:t>
      </w:r>
    </w:p>
    <w:p w:rsidR="00575927" w:rsidRDefault="00575927" w:rsidP="00991669">
      <w:pPr>
        <w:rPr>
          <w:b/>
        </w:rPr>
      </w:pPr>
    </w:p>
    <w:p w:rsidR="00575927" w:rsidRPr="00575927" w:rsidRDefault="00575927" w:rsidP="00991669">
      <w:r w:rsidRPr="00575927">
        <w:rPr>
          <w:b/>
        </w:rPr>
        <w:t xml:space="preserve">TERCERO. </w:t>
      </w:r>
      <w:r w:rsidRPr="00575927">
        <w:t xml:space="preserve">Se reconoce la validez de los artículos 18, párrafo segundo, 36, párrafo noveno, 79, párrafo segundo —con la salvedad precisada en el punto resolutivo cuarto—, 142, párrafo primero, 146, fracciones IV y XXIV Bis, 153 y 161 de la Ley de Instituciones y Procedimientos Electorales del Estado de Sinaloa, reformados y adicionado, respectivamente, mediante el Decreto Número 454, publicado en el Periódico Oficial de dicha entidad federativa el cinco de junio de dos mil veinte, así como del artículo transitorio único del referido decreto, de conformidad con el considerando sexto, apartado B, temas 1, 3 y 4, de esta determinación. </w:t>
      </w:r>
    </w:p>
    <w:p w:rsidR="00575927" w:rsidRDefault="00575927" w:rsidP="00991669">
      <w:pPr>
        <w:rPr>
          <w:b/>
        </w:rPr>
      </w:pPr>
    </w:p>
    <w:p w:rsidR="00575927" w:rsidRDefault="00575927" w:rsidP="00991669">
      <w:pPr>
        <w:rPr>
          <w:b/>
        </w:rPr>
      </w:pPr>
      <w:r w:rsidRPr="00575927">
        <w:rPr>
          <w:b/>
        </w:rPr>
        <w:t xml:space="preserve">CUARTO. </w:t>
      </w:r>
      <w:r w:rsidRPr="00575927">
        <w:t>Se declara la invalidez del artículo 79, párrafo segundo, en sus porciones normativas ‘Dentro los últimos siete días del mes de octubre del año anterior a la elección’ y ‘al concluir dicho término’, de la Ley de Instituciones y Procedimientos Electorales del Estado de Sinaloa, adicionado mediante el Decreto Número 454, publicado en el Periódico Oficial de dicha entidad federativa el cinco de junio de dos mil veinte, la cual surtirá sus efectos a partir de la notificación de estos puntos resolutivos al Congreso del Estado de Sinaloa, tal como se dispone en los considerandos sexto, apartado B, tema 2, y séptimo de esta ejecutoria.</w:t>
      </w:r>
      <w:r w:rsidRPr="00575927">
        <w:rPr>
          <w:b/>
        </w:rPr>
        <w:t xml:space="preserve"> </w:t>
      </w:r>
    </w:p>
    <w:p w:rsidR="00575927" w:rsidRDefault="00575927" w:rsidP="00991669">
      <w:pPr>
        <w:rPr>
          <w:b/>
        </w:rPr>
      </w:pPr>
    </w:p>
    <w:p w:rsidR="00991669" w:rsidRPr="00575927" w:rsidRDefault="00575927" w:rsidP="00575927">
      <w:pPr>
        <w:rPr>
          <w:rFonts w:cs="Arial"/>
          <w:bCs/>
          <w:szCs w:val="28"/>
        </w:rPr>
      </w:pPr>
      <w:r w:rsidRPr="00575927">
        <w:rPr>
          <w:b/>
        </w:rPr>
        <w:t xml:space="preserve">QUINTO. </w:t>
      </w:r>
      <w:r w:rsidRPr="00575927">
        <w:t>Publíquese esta resolución en el Diario Oficial de la Federación, en el Periódico Oficial del Estado de Sinaloa, así como en el Semanario Judicial de la Federación y su Gaceta.</w:t>
      </w:r>
      <w:r w:rsidR="00991669" w:rsidRPr="00991669">
        <w:rPr>
          <w:rFonts w:cs="Arial"/>
          <w:bCs/>
          <w:szCs w:val="28"/>
        </w:rPr>
        <w:cr/>
      </w:r>
    </w:p>
    <w:p w:rsidR="00575927" w:rsidRPr="00575927" w:rsidRDefault="00575927" w:rsidP="00575927">
      <w:pPr>
        <w:ind w:firstLine="708"/>
        <w:rPr>
          <w:rFonts w:cs="Arial"/>
          <w:szCs w:val="28"/>
        </w:rPr>
      </w:pPr>
      <w:r w:rsidRPr="00575927">
        <w:rPr>
          <w:rFonts w:cs="Arial"/>
          <w:szCs w:val="28"/>
        </w:rPr>
        <w:t>Así lo resolvió el Pleno de la Suprema Corte de Justicia de la Nación:</w:t>
      </w:r>
    </w:p>
    <w:p w:rsidR="00575927" w:rsidRPr="00575927" w:rsidRDefault="00575927" w:rsidP="00575927">
      <w:pPr>
        <w:spacing w:before="100" w:beforeAutospacing="1"/>
        <w:ind w:firstLine="708"/>
        <w:rPr>
          <w:rFonts w:cs="Arial"/>
          <w:b/>
          <w:szCs w:val="28"/>
        </w:rPr>
      </w:pPr>
      <w:r w:rsidRPr="00575927">
        <w:rPr>
          <w:rFonts w:cs="Arial"/>
          <w:b/>
          <w:szCs w:val="28"/>
        </w:rPr>
        <w:t>En relación con el punto resolutivo primero:</w:t>
      </w:r>
    </w:p>
    <w:p w:rsidR="00575927" w:rsidRPr="00575927" w:rsidRDefault="00575927" w:rsidP="00575927">
      <w:pPr>
        <w:spacing w:before="100" w:beforeAutospacing="1"/>
        <w:ind w:firstLine="708"/>
        <w:rPr>
          <w:rFonts w:cs="Arial"/>
          <w:szCs w:val="28"/>
          <w:lang w:val="es-ES"/>
        </w:rPr>
      </w:pPr>
      <w:r w:rsidRPr="00575927">
        <w:rPr>
          <w:rFonts w:cs="Arial"/>
          <w:szCs w:val="28"/>
          <w:lang w:val="es-ES"/>
        </w:rPr>
        <w:t>Se aprobó por unanimidad de once votos de los señores Ministros Gutiérrez Ortiz Mena, González Alcántara Carrancá, Esquivel Mossa, Franco González Salas, Aguilar Morales, Pardo Rebolledo, Piña Hernández con reservas en cuanto a la naturaleza electoral de las normas impugnadas, Ríos Farjat, Laynez Potisek, Pérez Dayán y Presidente Zaldívar Lelo de Larrea, respecto de los considerandos primero, segundo y tercero relativos, respectivamente, a la competencia, a la oportunidad y a la legitimación.</w:t>
      </w:r>
    </w:p>
    <w:p w:rsidR="00575927" w:rsidRPr="00575927" w:rsidRDefault="00575927" w:rsidP="00575927">
      <w:pPr>
        <w:spacing w:before="100" w:beforeAutospacing="1"/>
        <w:ind w:firstLine="708"/>
        <w:rPr>
          <w:rFonts w:cs="Arial"/>
          <w:szCs w:val="28"/>
          <w:lang w:val="es-ES"/>
        </w:rPr>
      </w:pPr>
      <w:r w:rsidRPr="00575927">
        <w:rPr>
          <w:rFonts w:cs="Arial"/>
          <w:szCs w:val="28"/>
          <w:lang w:val="es-ES"/>
        </w:rPr>
        <w:t>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 los considerando cuarto y quinto relativos, respectivamente, a las causas de improcedencia (consistente en desestimar la causa de improcedencia hecha valer por el Poder Legislativo del Estado) y a la precisión de las disposiciones normativas impugnadas.</w:t>
      </w:r>
    </w:p>
    <w:p w:rsidR="00575927" w:rsidRPr="00575927" w:rsidRDefault="00575927" w:rsidP="00575927">
      <w:pPr>
        <w:spacing w:before="100" w:beforeAutospacing="1"/>
        <w:ind w:firstLine="708"/>
        <w:rPr>
          <w:rFonts w:cs="Arial"/>
          <w:szCs w:val="28"/>
          <w:lang w:val="es-ES"/>
        </w:rPr>
      </w:pPr>
      <w:r w:rsidRPr="00575927">
        <w:rPr>
          <w:rFonts w:cs="Arial"/>
          <w:szCs w:val="28"/>
          <w:lang w:val="es-ES"/>
        </w:rPr>
        <w:t>Se aprobó por mayoría de siete votos de los señores Ministros Gutiérrez Ortiz Mena, Esquivel Mossa, Aguilar Morales, Pardo Rebolledo, Ríos Farjat, Laynez Potisek y Pérez Dayán, respecto del considerando cuarto, relativo a las causas de improcedencia, consistente en no sobreseer respecto de la reforma del artículo 146, fracción IV, de la Ley de Instituciones y Procedimientos Electorales del Estado de Sinaloa, realizada mediante el Decreto Número 454, publicado en el periódico oficial de dicha entidad federativa el cinco de junio de dos mil veinte. Los señores Ministros González Alcántara Carrancá, Franco González Salas, Piña Hernández y Presidente Zaldívar Lelo de Larrea votaron en contra. El señor Ministro González Alcántara Carrancá anunció voto aclaratorio.</w:t>
      </w:r>
    </w:p>
    <w:p w:rsidR="00575927" w:rsidRPr="00575927" w:rsidRDefault="00575927" w:rsidP="00575927">
      <w:pPr>
        <w:spacing w:before="100" w:beforeAutospacing="1"/>
        <w:ind w:firstLine="708"/>
        <w:rPr>
          <w:rFonts w:cs="Arial"/>
          <w:b/>
          <w:szCs w:val="28"/>
        </w:rPr>
      </w:pPr>
      <w:r w:rsidRPr="00575927">
        <w:rPr>
          <w:rFonts w:cs="Arial"/>
          <w:b/>
          <w:szCs w:val="28"/>
        </w:rPr>
        <w:t>En relación con el punto resolutivo segundo:</w:t>
      </w:r>
    </w:p>
    <w:p w:rsidR="00575927" w:rsidRPr="00575927" w:rsidRDefault="00575927" w:rsidP="00575927">
      <w:pPr>
        <w:spacing w:before="100" w:beforeAutospacing="1"/>
        <w:ind w:firstLine="708"/>
        <w:rPr>
          <w:rFonts w:cs="Arial"/>
          <w:szCs w:val="28"/>
          <w:lang w:val="es-ES"/>
        </w:rPr>
      </w:pPr>
      <w:r w:rsidRPr="00575927">
        <w:rPr>
          <w:rFonts w:cs="Arial"/>
          <w:szCs w:val="28"/>
          <w:lang w:val="es-ES"/>
        </w:rPr>
        <w:t>Se aprobó por unanimidad de once votos de los señores Ministros Gutiérrez Ortiz Mena, González Alcántara Carrancá, Esquivel Mossa en contra del criterio del cambio normativo, Franco González Salas, Aguilar Morales, Pardo Rebolledo en contra del criterio del cambio normativo, Piña Hernández en contra del criterio del cambio normativo, Ríos Farjat, Laynez Potisek, Pérez Dayán y Presidente Zaldívar Lelo de Larrea, respecto del considerando cuarto, relativo a las causas de improcedencia, consistente en sobreseer respecto de la reforma de los artículos 36, párrafo segundo, y 146, fracción III, y de la adición del artículo 80, párrafo tercero, de la Ley de Instituciones y Procedimientos Electorales del Estado de Sinaloa, realizada mediante el Decreto Número 454, publicado en el periódico oficial de dicha entidad federativa el cinco de junio de dos mil veinte.</w:t>
      </w:r>
    </w:p>
    <w:p w:rsidR="00575927" w:rsidRPr="00575927" w:rsidRDefault="00575927" w:rsidP="00575927">
      <w:pPr>
        <w:spacing w:before="100" w:beforeAutospacing="1"/>
        <w:ind w:firstLine="708"/>
        <w:rPr>
          <w:rFonts w:cs="Arial"/>
          <w:szCs w:val="28"/>
          <w:lang w:val="es-ES"/>
        </w:rPr>
      </w:pPr>
      <w:r w:rsidRPr="00575927">
        <w:rPr>
          <w:rFonts w:cs="Arial"/>
          <w:szCs w:val="28"/>
          <w:lang w:val="es-ES"/>
        </w:rPr>
        <w:t>Se aprobó por mayoría de diez votos de los señores Ministros Gutiérrez Ortiz Mena, González Alcántara Carrancá, Franco González Salas, Aguilar Morales, Pardo Rebolledo en contra del criterio del cambio normativo, Piña Hernández en contra del criterio del cambio normativo, Ríos Farjat, Laynez Potisek, Pérez Dayán y Presidente Zaldívar Lelo de Larrea, respecto del considerando cuarto, relativo a las causas de improcedencia, consistente en sobreseer respecto de la reforma del artículo 80, párrafo segundo, de la Ley de Instituciones y Procedimientos Electorales del Estado de Sinaloa, realizada mediante el Decreto Número 454, publicado en el periódico oficial de dicha entidad federativa el cinco de junio de dos mil veinte. La señora Ministra Esquivel Mossa votó en contra.</w:t>
      </w:r>
    </w:p>
    <w:p w:rsidR="00575927" w:rsidRPr="00575927" w:rsidRDefault="00575927" w:rsidP="00575927">
      <w:pPr>
        <w:spacing w:before="100" w:beforeAutospacing="1"/>
        <w:ind w:firstLine="708"/>
        <w:rPr>
          <w:rFonts w:cs="Arial"/>
          <w:szCs w:val="28"/>
          <w:lang w:val="es-ES"/>
        </w:rPr>
      </w:pPr>
      <w:r w:rsidRPr="00575927">
        <w:rPr>
          <w:rFonts w:cs="Arial"/>
          <w:szCs w:val="28"/>
          <w:lang w:val="es-ES"/>
        </w:rPr>
        <w:t>Se aprobó por mayoría de nueve votos de los señores Ministros Gutiérrez Ortiz Mena, González Alcántara Carrancá, Franco González Salas, Aguilar Morales, Pardo Rebolledo en contra del criterio del cambio normativo, Piña Hernández en contra del criterio del cambio normativo, Ríos Farjat, Laynez Potisek y Presidente Zaldívar Lelo de Larrea, respecto del considerando cuarto, relativo a las causas de improcedencia, consistente en sobreseer respecto de la derogación del artículo 36, párrafos tercero, cuarto, quinto, sexto y décimo, de la Ley de Instituciones y Procedimientos Electorales del Estado de Sinaloa, realizada mediante el Decreto Número 454, publicado en el periódico oficial de dicha entidad federativa el cinco de junio de dos mil veinte. La señora Ministra Piña Hernández y el señor Ministro Pérez Dayán votaron en contra.</w:t>
      </w:r>
    </w:p>
    <w:p w:rsidR="00575927" w:rsidRPr="00575927" w:rsidRDefault="00575927" w:rsidP="00575927">
      <w:pPr>
        <w:spacing w:before="100" w:beforeAutospacing="1"/>
        <w:ind w:firstLine="708"/>
        <w:rPr>
          <w:rFonts w:cs="Arial"/>
          <w:b/>
          <w:szCs w:val="28"/>
        </w:rPr>
      </w:pPr>
      <w:r w:rsidRPr="00575927">
        <w:rPr>
          <w:rFonts w:cs="Arial"/>
          <w:b/>
          <w:szCs w:val="28"/>
        </w:rPr>
        <w:t>En relación con el punto resolutivo tercero:</w:t>
      </w:r>
    </w:p>
    <w:p w:rsidR="00575927" w:rsidRPr="00575927" w:rsidRDefault="00575927" w:rsidP="00575927">
      <w:pPr>
        <w:spacing w:before="100" w:beforeAutospacing="1"/>
        <w:ind w:firstLine="708"/>
        <w:rPr>
          <w:rFonts w:cs="Arial"/>
          <w:szCs w:val="28"/>
          <w:lang w:val="es-ES"/>
        </w:rPr>
      </w:pPr>
      <w:r w:rsidRPr="00575927">
        <w:rPr>
          <w:rFonts w:cs="Arial"/>
          <w:szCs w:val="28"/>
          <w:lang w:val="es-ES"/>
        </w:rPr>
        <w:t>Se aprobó por mayoría de siete votos de los señores Ministros Esquivel Mossa, Franco González Salas, Aguilar Morales, Pardo Rebolledo, Ríos Farjat, Laynez Potisek y Presidente Zaldívar Lelo de Larrea, respecto del considerando sexto, relativo al estudio de fondo, en su apartado A, denominado “Argumentos en contra del procedimiento legislativo”, tema 1, denominado “Transgresión a las reglas que regulan el procedimiento legislativo”, consistente en reconocer la validez del procedimiento legislativo que culminó en el Decreto Número 454, que reforma, adiciona y deroga diversas disposiciones de la Ley de Instituciones y Procedimientos Electorales del Estado de Sinaloa, publicado en el periódico oficial de dicha entidad federativa el cinco de junio de dos mil veinte. Los señores Ministros Gutiérrez Ortiz Mena, González Alcántara Carrancá, Piña Hernández y Pérez Dayán votaron en contra. El señor Ministro González Alcántara Carrancá y la señora Ministra Piña Hernández anunciaron sendos votos particulares.</w:t>
      </w:r>
    </w:p>
    <w:p w:rsidR="003677AB" w:rsidRPr="00575927" w:rsidRDefault="003677AB" w:rsidP="003677AB">
      <w:pPr>
        <w:spacing w:before="100" w:beforeAutospacing="1"/>
        <w:ind w:firstLine="708"/>
        <w:rPr>
          <w:rFonts w:cs="Arial"/>
          <w:szCs w:val="28"/>
          <w:lang w:val="es-ES"/>
        </w:rPr>
      </w:pPr>
      <w:r w:rsidRPr="00575927">
        <w:rPr>
          <w:rFonts w:cs="Arial"/>
          <w:szCs w:val="28"/>
          <w:lang w:val="es-ES"/>
        </w:rPr>
        <w:t>Se aprobó por mayoría de diez votos de los señores Ministros Gutiérrez Ortiz Mena apartándose de las consideraciones, González Alcántara Carrancá, Esquivel Mossa, Franco González Salas, Aguilar Morales, Pardo Rebolledo, Ríos Farjat, Laynez Potisek, Pérez Dayán y Presidente Zaldívar Lelo de Larrea por razones distintas y adicionales, respecto del considerando sexto, relativo al estudio de fondo, en su apartado A, denominado “Argumentos en contra del procedimiento legislativo”, tema 2, denominado “La consulta a los pueblos y comunidades indígenas y afromexicanas”, consistente en reconocer la validez del procedimiento legislativo que culminó en el Decreto Número 454, que reforma, adiciona y deroga diversas disposiciones de la Ley de Instituciones y Procedimientos Electorales del Estado de Sinaloa, publicado en el periódico oficial de dicha entidad federativa el cinco de junio de dos mil veinte. La señora Ministra Piña Hernández votó en contra y anunció voto particular.</w:t>
      </w:r>
    </w:p>
    <w:p w:rsidR="00575927" w:rsidRPr="00575927" w:rsidRDefault="00575927" w:rsidP="00575927">
      <w:pPr>
        <w:spacing w:before="100" w:beforeAutospacing="1"/>
        <w:ind w:firstLine="708"/>
        <w:rPr>
          <w:rFonts w:cs="Arial"/>
          <w:szCs w:val="28"/>
          <w:lang w:val="es-ES"/>
        </w:rPr>
      </w:pPr>
      <w:r w:rsidRPr="00575927">
        <w:rPr>
          <w:rFonts w:cs="Arial"/>
          <w:szCs w:val="28"/>
          <w:lang w:val="es-ES"/>
        </w:rPr>
        <w:t>Se aprobó por unanimidad de once votos de los señores Ministros Gutiérrez Ortiz Mena, González Alcántara Carrancá, Esquivel Mossa, Franco González Salas, Aguilar Morales apartándose de la cita de un precedente, Pardo Rebolledo, Piña Hernández, Ríos Farjat apartándose de algunas consideraciones, Laynez Potisek, Pérez Dayán y Presidente Zaldívar Lelo de Larrea, respecto del considerando sexto, relativo al estudio de fondo, en su apartado B, denominado “Argumentos en contra de las disposiciones normativas modificadas mediante el decreto impugnado”, en su tema 1, denominado “Modificación de la fecha en que el Congreso local convoca a elecciones”, consistente en reconocer la validez del artículo 18, párrafo segundo, de la Ley de Instituciones y Procedimientos Electorales del Estado de Sinaloa, reformado mediante el Decreto Número 454, publicado en el periódico oficial de dicha entidad federativa el cinco de junio de dos mil veinte. Los señores Ministros Pardo Rebolledo, Piña Hernández, Ríos Farjat y Laynez Potisek anunciaron sendos votos aclaratorios.</w:t>
      </w:r>
    </w:p>
    <w:p w:rsidR="00575927" w:rsidRPr="00575927" w:rsidRDefault="00575927" w:rsidP="00575927">
      <w:pPr>
        <w:spacing w:before="100" w:beforeAutospacing="1"/>
        <w:ind w:firstLine="708"/>
        <w:rPr>
          <w:rFonts w:cs="Arial"/>
          <w:szCs w:val="28"/>
          <w:lang w:val="es-ES"/>
        </w:rPr>
      </w:pPr>
      <w:r w:rsidRPr="00575927">
        <w:rPr>
          <w:rFonts w:cs="Arial"/>
          <w:szCs w:val="28"/>
          <w:lang w:val="es-ES"/>
        </w:rPr>
        <w:t>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del considerando sexto, relativo al estudio de fondo, en su apartado B, denominado “Argumentos en contra de las disposiciones normativas modificadas mediante el decreto impugnado”, en sus temas 3, denominado “Invasión de competencia del Congreso de la Unión y el Consejo de Salubridad”, y 4, denominado “Vulneración al pluralismo jurídico”, consistentes, respectivamente, en reconocer la validez de los artículos 18, párrafo segundo, 36, párrafo noveno, 79, párrafo segundo, en sus porciones normativas “el Consejo General del Instituto acordará los plazos en los que deberán desahogarse los procedimientos a que se refiere este artículo, y podrá” y “publicar la convocatoria correspondiente”, 142, párrafo primero, 146, fracciones IV y XXIV Bis, 153 y 161 de la Ley de Instituciones y Procedimientos Electorales del Estado de Sinaloa, reformados y adicionado, respectivamente, mediante el Decreto Número 454, publicado en el periódico oficial de dicha entidad federativa el cinco de junio de dos mil veinte, así como del artículo transitorio único del referido decreto.</w:t>
      </w:r>
    </w:p>
    <w:p w:rsidR="00575927" w:rsidRPr="00575927" w:rsidRDefault="00575927" w:rsidP="00575927">
      <w:pPr>
        <w:spacing w:before="100" w:beforeAutospacing="1"/>
        <w:ind w:firstLine="708"/>
        <w:rPr>
          <w:rFonts w:cs="Arial"/>
          <w:b/>
          <w:szCs w:val="28"/>
        </w:rPr>
      </w:pPr>
      <w:r w:rsidRPr="00575927">
        <w:rPr>
          <w:rFonts w:cs="Arial"/>
          <w:b/>
          <w:szCs w:val="28"/>
        </w:rPr>
        <w:t>En relación con el punto resolutivo cuarto:</w:t>
      </w:r>
    </w:p>
    <w:p w:rsidR="00575927" w:rsidRPr="00575927" w:rsidRDefault="00575927" w:rsidP="00575927">
      <w:pPr>
        <w:spacing w:before="100" w:beforeAutospacing="1"/>
        <w:ind w:firstLine="708"/>
        <w:rPr>
          <w:rFonts w:cs="Arial"/>
          <w:szCs w:val="28"/>
          <w:lang w:val="es-ES"/>
        </w:rPr>
      </w:pPr>
      <w:r w:rsidRPr="00575927">
        <w:rPr>
          <w:rFonts w:cs="Arial"/>
          <w:szCs w:val="28"/>
          <w:lang w:val="es-ES"/>
        </w:rPr>
        <w:t>Se aprobó por mayoría de nueve votos de los señores Ministros Gutiérrez Ortiz Mena, González Alcántara Carrancá, Esquivel Mossa, Franco González Salas, Pardo Rebolledo, Piña Hernández por razones adicionales, Ríos Farjat, Laynez Potisek y Presidente Zaldívar Lelo de Larrea, respecto del considerando sexto, relativo al estudio de fondo, en su apartado B, denominado “Argumentos en contra de las disposiciones normativas modificadas mediante el decreto impugnado”, en su tema 2, denominado “Actos de candidatos independientes previo al inicio del proceso electoral”, consistente en declarar la invalidez del artículo 79, párrafo segundo, en sus porciones normativas “Dentro los últimos siete días del mes de octubre del año anterior a la elección” y “al concluir dicho término”, de la Ley de Instituciones y Procedimientos Electorales del Estado de Sinaloa, adicionado mediante el Decreto Número 454, publicado en el Periódico Oficial de dicha entidad federativa el cinco de junio de dos mil veinte. Los señores Ministros Aguilar Morales y Pérez Dayán votaron en contra. La señora Ministra Piña Hernández anunció voto concurrente. El señor Ministro Aguilar Morales anunció voto particular.</w:t>
      </w:r>
    </w:p>
    <w:p w:rsidR="00575927" w:rsidRPr="00575927" w:rsidRDefault="00575927" w:rsidP="00575927">
      <w:pPr>
        <w:spacing w:before="100" w:beforeAutospacing="1"/>
        <w:ind w:firstLine="708"/>
        <w:rPr>
          <w:rFonts w:cs="Arial"/>
          <w:szCs w:val="28"/>
          <w:lang w:val="es-ES"/>
        </w:rPr>
      </w:pPr>
      <w:r w:rsidRPr="00575927">
        <w:rPr>
          <w:rFonts w:cs="Arial"/>
          <w:szCs w:val="28"/>
          <w:lang w:val="es-ES"/>
        </w:rPr>
        <w:t>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del considerando séptimo, relativo a los efectos, consistente en determinar que la declaración de invalidez decretada en este fallo surta sus efectos a partir de la notificación de los puntos resolutivos de esta sentencia al Congreso del Estado de Sinaloa.</w:t>
      </w:r>
    </w:p>
    <w:p w:rsidR="00575927" w:rsidRPr="00575927" w:rsidRDefault="00575927" w:rsidP="00575927">
      <w:pPr>
        <w:spacing w:before="100" w:beforeAutospacing="1"/>
        <w:ind w:firstLine="708"/>
        <w:rPr>
          <w:rFonts w:cs="Arial"/>
          <w:b/>
          <w:szCs w:val="28"/>
        </w:rPr>
      </w:pPr>
      <w:r w:rsidRPr="00575927">
        <w:rPr>
          <w:rFonts w:cs="Arial"/>
          <w:b/>
          <w:szCs w:val="28"/>
        </w:rPr>
        <w:t>En relación con el punto resolutivo quinto:</w:t>
      </w:r>
    </w:p>
    <w:p w:rsidR="00575927" w:rsidRPr="00575927" w:rsidRDefault="00575927" w:rsidP="00575927">
      <w:pPr>
        <w:spacing w:before="100" w:beforeAutospacing="1"/>
        <w:ind w:firstLine="708"/>
        <w:rPr>
          <w:rFonts w:cs="Arial"/>
          <w:szCs w:val="28"/>
          <w:lang w:val="es-ES"/>
        </w:rPr>
      </w:pPr>
      <w:r w:rsidRPr="00575927">
        <w:rPr>
          <w:rFonts w:cs="Arial"/>
          <w:szCs w:val="28"/>
          <w:lang w:val="es-ES"/>
        </w:rPr>
        <w:t>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w:t>
      </w:r>
    </w:p>
    <w:p w:rsidR="003B5FE3" w:rsidRDefault="00575927" w:rsidP="002A0E28">
      <w:pPr>
        <w:spacing w:before="100" w:beforeAutospacing="1"/>
        <w:ind w:firstLine="708"/>
        <w:rPr>
          <w:rFonts w:cs="Arial"/>
          <w:szCs w:val="28"/>
        </w:rPr>
      </w:pPr>
      <w:r w:rsidRPr="00575927">
        <w:rPr>
          <w:rFonts w:cs="Arial"/>
          <w:szCs w:val="28"/>
          <w:lang w:eastAsia="es-ES"/>
        </w:rPr>
        <w:t>El señor Ministro Presidente Zaldívar Lelo de Larrea declaró que el asunto se resolvió en los términos precisados</w:t>
      </w:r>
      <w:r w:rsidRPr="00575927">
        <w:rPr>
          <w:rFonts w:cs="Arial"/>
          <w:szCs w:val="28"/>
        </w:rPr>
        <w:t>. Doy fe.</w:t>
      </w:r>
    </w:p>
    <w:p w:rsidR="002A0E28" w:rsidRDefault="002A0E28" w:rsidP="002A0E28">
      <w:pPr>
        <w:spacing w:before="100" w:beforeAutospacing="1"/>
        <w:ind w:firstLine="708"/>
        <w:rPr>
          <w:rFonts w:cs="Arial"/>
          <w:szCs w:val="28"/>
        </w:rPr>
      </w:pPr>
      <w:r w:rsidRPr="002A0E28">
        <w:rPr>
          <w:rFonts w:cs="Arial"/>
          <w:szCs w:val="28"/>
        </w:rPr>
        <w:t>Firman el Ministro Presidente de la Suprema Corte de Justicia de la Nación y el Ministro Ponente, con el Secretario General de Acuerdos que da fe.</w:t>
      </w:r>
    </w:p>
    <w:p w:rsidR="007E0E57" w:rsidRDefault="007E0E57" w:rsidP="002A0E28">
      <w:pPr>
        <w:spacing w:before="100" w:beforeAutospacing="1"/>
        <w:ind w:firstLine="708"/>
        <w:rPr>
          <w:rFonts w:cs="Arial"/>
          <w:szCs w:val="28"/>
        </w:rPr>
      </w:pPr>
    </w:p>
    <w:p w:rsidR="002A0E28" w:rsidRDefault="002A0E28" w:rsidP="002A0E28">
      <w:pPr>
        <w:spacing w:before="100" w:beforeAutospacing="1"/>
        <w:ind w:firstLine="708"/>
        <w:jc w:val="center"/>
        <w:rPr>
          <w:rFonts w:cs="Arial"/>
          <w:b/>
          <w:szCs w:val="28"/>
        </w:rPr>
      </w:pPr>
      <w:r>
        <w:rPr>
          <w:rFonts w:cs="Arial"/>
          <w:b/>
          <w:szCs w:val="28"/>
        </w:rPr>
        <w:t>PRESIDENTE</w:t>
      </w:r>
    </w:p>
    <w:p w:rsidR="002A0E28" w:rsidRDefault="002A0E28" w:rsidP="002A0E28">
      <w:pPr>
        <w:spacing w:before="100" w:beforeAutospacing="1"/>
        <w:ind w:firstLine="708"/>
        <w:jc w:val="center"/>
        <w:rPr>
          <w:rFonts w:cs="Arial"/>
          <w:b/>
          <w:szCs w:val="28"/>
        </w:rPr>
      </w:pPr>
    </w:p>
    <w:p w:rsidR="002A0E28" w:rsidRDefault="002A0E28" w:rsidP="002A0E28">
      <w:pPr>
        <w:spacing w:before="100" w:beforeAutospacing="1"/>
        <w:ind w:firstLine="708"/>
        <w:jc w:val="center"/>
        <w:rPr>
          <w:rFonts w:cs="Arial"/>
          <w:b/>
          <w:szCs w:val="28"/>
        </w:rPr>
      </w:pPr>
      <w:r>
        <w:rPr>
          <w:rFonts w:cs="Arial"/>
          <w:b/>
          <w:szCs w:val="28"/>
        </w:rPr>
        <w:t>ARTURO ZALDÍVAR LELO DE LARREA</w:t>
      </w:r>
    </w:p>
    <w:p w:rsidR="007E0E57" w:rsidRDefault="007E0E57" w:rsidP="002A0E28">
      <w:pPr>
        <w:spacing w:before="100" w:beforeAutospacing="1"/>
        <w:ind w:firstLine="708"/>
        <w:jc w:val="center"/>
        <w:rPr>
          <w:rFonts w:cs="Arial"/>
          <w:b/>
          <w:szCs w:val="28"/>
        </w:rPr>
      </w:pPr>
    </w:p>
    <w:p w:rsidR="002A0E28" w:rsidRDefault="002A0E28" w:rsidP="002A0E28">
      <w:pPr>
        <w:spacing w:before="100" w:beforeAutospacing="1"/>
        <w:ind w:firstLine="708"/>
        <w:jc w:val="center"/>
        <w:rPr>
          <w:rFonts w:cs="Arial"/>
          <w:b/>
          <w:szCs w:val="28"/>
        </w:rPr>
      </w:pPr>
      <w:r>
        <w:rPr>
          <w:rFonts w:cs="Arial"/>
          <w:b/>
          <w:szCs w:val="28"/>
        </w:rPr>
        <w:t>PONENTE</w:t>
      </w:r>
    </w:p>
    <w:p w:rsidR="002A0E28" w:rsidRDefault="002A0E28" w:rsidP="002A0E28">
      <w:pPr>
        <w:spacing w:before="100" w:beforeAutospacing="1"/>
        <w:ind w:firstLine="708"/>
        <w:jc w:val="center"/>
        <w:rPr>
          <w:rFonts w:cs="Arial"/>
          <w:b/>
          <w:szCs w:val="28"/>
        </w:rPr>
      </w:pPr>
    </w:p>
    <w:p w:rsidR="002A0E28" w:rsidRDefault="002A0E28" w:rsidP="002A0E28">
      <w:pPr>
        <w:spacing w:before="100" w:beforeAutospacing="1"/>
        <w:ind w:firstLine="708"/>
        <w:jc w:val="center"/>
        <w:rPr>
          <w:rFonts w:cs="Arial"/>
          <w:b/>
          <w:szCs w:val="28"/>
        </w:rPr>
      </w:pPr>
      <w:r>
        <w:rPr>
          <w:rFonts w:cs="Arial"/>
          <w:b/>
          <w:szCs w:val="28"/>
        </w:rPr>
        <w:t>JOSÉ FERNANDO FRANCO GONZÁLEZ SALAS</w:t>
      </w:r>
    </w:p>
    <w:p w:rsidR="002A0E28" w:rsidRDefault="002A0E28" w:rsidP="002A0E28">
      <w:pPr>
        <w:spacing w:before="100" w:beforeAutospacing="1"/>
        <w:ind w:firstLine="708"/>
        <w:jc w:val="center"/>
        <w:rPr>
          <w:rFonts w:cs="Arial"/>
          <w:b/>
          <w:szCs w:val="28"/>
        </w:rPr>
      </w:pPr>
    </w:p>
    <w:p w:rsidR="007E0E57" w:rsidRDefault="007E0E57" w:rsidP="002A0E28">
      <w:pPr>
        <w:spacing w:before="100" w:beforeAutospacing="1"/>
        <w:ind w:firstLine="708"/>
        <w:jc w:val="center"/>
        <w:rPr>
          <w:rFonts w:cs="Arial"/>
          <w:b/>
          <w:szCs w:val="28"/>
        </w:rPr>
      </w:pPr>
    </w:p>
    <w:p w:rsidR="002A0E28" w:rsidRDefault="002A0E28" w:rsidP="002A0E28">
      <w:pPr>
        <w:spacing w:before="100" w:beforeAutospacing="1"/>
        <w:ind w:firstLine="708"/>
        <w:jc w:val="center"/>
        <w:rPr>
          <w:rFonts w:cs="Arial"/>
          <w:b/>
          <w:szCs w:val="28"/>
        </w:rPr>
      </w:pPr>
      <w:r>
        <w:rPr>
          <w:rFonts w:cs="Arial"/>
          <w:b/>
          <w:szCs w:val="28"/>
        </w:rPr>
        <w:t>SECRETARIO GENERAL DE ACUERDOS</w:t>
      </w:r>
    </w:p>
    <w:p w:rsidR="002A0E28" w:rsidRDefault="002A0E28" w:rsidP="002A0E28">
      <w:pPr>
        <w:spacing w:before="100" w:beforeAutospacing="1"/>
        <w:ind w:firstLine="708"/>
        <w:jc w:val="center"/>
        <w:rPr>
          <w:rFonts w:cs="Arial"/>
          <w:b/>
          <w:szCs w:val="28"/>
        </w:rPr>
      </w:pPr>
    </w:p>
    <w:p w:rsidR="002A0E28" w:rsidRPr="002A0E28" w:rsidRDefault="002A0E28" w:rsidP="002A0E28">
      <w:pPr>
        <w:spacing w:before="100" w:beforeAutospacing="1"/>
        <w:ind w:firstLine="708"/>
        <w:jc w:val="center"/>
        <w:rPr>
          <w:rFonts w:cs="Arial"/>
          <w:b/>
          <w:szCs w:val="28"/>
        </w:rPr>
      </w:pPr>
      <w:r>
        <w:rPr>
          <w:rFonts w:cs="Arial"/>
          <w:b/>
          <w:szCs w:val="28"/>
        </w:rPr>
        <w:t>LICENCIADO RAFAEL COELLO CETINA</w:t>
      </w:r>
    </w:p>
    <w:sectPr w:rsidR="002A0E28" w:rsidRPr="002A0E28" w:rsidSect="000C7441">
      <w:headerReference w:type="even" r:id="rId8"/>
      <w:headerReference w:type="default" r:id="rId9"/>
      <w:footerReference w:type="even" r:id="rId10"/>
      <w:footerReference w:type="default" r:id="rId11"/>
      <w:pgSz w:w="12240" w:h="20160" w:code="5"/>
      <w:pgMar w:top="3572" w:right="1701" w:bottom="2268" w:left="1985" w:header="170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2FF" w:rsidRDefault="00CA22FF" w:rsidP="00D017A0">
      <w:r>
        <w:separator/>
      </w:r>
    </w:p>
  </w:endnote>
  <w:endnote w:type="continuationSeparator" w:id="0">
    <w:p w:rsidR="00CA22FF" w:rsidRDefault="00CA22FF" w:rsidP="00D0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rPr>
      <w:id w:val="-829444093"/>
      <w:docPartObj>
        <w:docPartGallery w:val="Page Numbers (Bottom of Page)"/>
        <w:docPartUnique/>
      </w:docPartObj>
    </w:sdtPr>
    <w:sdtEndPr/>
    <w:sdtContent>
      <w:p w:rsidR="00767FCE" w:rsidRDefault="00767FCE" w:rsidP="00121318">
        <w:pPr>
          <w:pStyle w:val="Piedepgina"/>
          <w:jc w:val="right"/>
          <w:rPr>
            <w:rFonts w:cs="Arial"/>
            <w:b/>
          </w:rPr>
        </w:pPr>
      </w:p>
      <w:p w:rsidR="00767FCE" w:rsidRDefault="00767FCE" w:rsidP="00121318">
        <w:pPr>
          <w:pStyle w:val="Piedepgina"/>
          <w:jc w:val="right"/>
          <w:rPr>
            <w:rFonts w:cs="Arial"/>
            <w:b/>
          </w:rPr>
        </w:pPr>
        <w:r w:rsidRPr="00D017A0">
          <w:rPr>
            <w:rFonts w:cs="Arial"/>
            <w:b/>
          </w:rPr>
          <w:fldChar w:fldCharType="begin"/>
        </w:r>
        <w:r>
          <w:rPr>
            <w:rFonts w:cs="Arial"/>
            <w:b/>
          </w:rPr>
          <w:instrText>PAGE</w:instrText>
        </w:r>
        <w:r w:rsidRPr="00D017A0">
          <w:rPr>
            <w:rFonts w:cs="Arial"/>
            <w:b/>
          </w:rPr>
          <w:instrText xml:space="preserve">   \* MERGEFORMAT</w:instrText>
        </w:r>
        <w:r w:rsidRPr="00D017A0">
          <w:rPr>
            <w:rFonts w:cs="Arial"/>
            <w:b/>
          </w:rPr>
          <w:fldChar w:fldCharType="separate"/>
        </w:r>
        <w:r w:rsidRPr="000C7441">
          <w:rPr>
            <w:rFonts w:cs="Arial"/>
            <w:b/>
            <w:noProof/>
            <w:lang w:val="es-ES"/>
          </w:rPr>
          <w:t>260</w:t>
        </w:r>
        <w:r w:rsidRPr="00D017A0">
          <w:rPr>
            <w:rFonts w:cs="Arial"/>
            <w:b/>
          </w:rPr>
          <w:fldChar w:fldCharType="end"/>
        </w:r>
      </w:p>
      <w:p w:rsidR="00767FCE" w:rsidRPr="00D017A0" w:rsidRDefault="00CA22FF" w:rsidP="00121318">
        <w:pPr>
          <w:pStyle w:val="Piedepgina"/>
          <w:jc w:val="right"/>
          <w:rPr>
            <w:rFonts w:cs="Arial"/>
            <w:b/>
          </w:rPr>
        </w:pPr>
      </w:p>
    </w:sdtContent>
  </w:sdt>
  <w:p w:rsidR="00767FCE" w:rsidRPr="00D017A0" w:rsidRDefault="00767FCE" w:rsidP="00121318">
    <w:pPr>
      <w:pStyle w:val="Piedepgina"/>
      <w:jc w:val="right"/>
      <w:rPr>
        <w:rFonts w:cs="Arial"/>
        <w:b/>
      </w:rPr>
    </w:pPr>
  </w:p>
  <w:p w:rsidR="00767FCE" w:rsidRDefault="00767FCE"/>
  <w:p w:rsidR="00767FCE" w:rsidRDefault="00767FCE"/>
  <w:p w:rsidR="00767FCE" w:rsidRDefault="00767F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sz w:val="24"/>
      </w:rPr>
      <w:id w:val="-1827892665"/>
      <w:docPartObj>
        <w:docPartGallery w:val="Page Numbers (Bottom of Page)"/>
        <w:docPartUnique/>
      </w:docPartObj>
    </w:sdtPr>
    <w:sdtEndPr/>
    <w:sdtContent>
      <w:p w:rsidR="00767FCE" w:rsidRPr="00384192" w:rsidRDefault="00767FCE" w:rsidP="00D017A0">
        <w:pPr>
          <w:pStyle w:val="Piedepgina"/>
          <w:jc w:val="right"/>
          <w:rPr>
            <w:rFonts w:cs="Arial"/>
            <w:b/>
            <w:sz w:val="24"/>
          </w:rPr>
        </w:pPr>
        <w:r w:rsidRPr="00384192">
          <w:rPr>
            <w:rFonts w:cs="Arial"/>
            <w:b/>
            <w:sz w:val="24"/>
          </w:rPr>
          <w:fldChar w:fldCharType="begin"/>
        </w:r>
        <w:r w:rsidRPr="00384192">
          <w:rPr>
            <w:rFonts w:cs="Arial"/>
            <w:b/>
            <w:sz w:val="24"/>
          </w:rPr>
          <w:instrText>PAGE   \* MERGEFORMAT</w:instrText>
        </w:r>
        <w:r w:rsidRPr="00384192">
          <w:rPr>
            <w:rFonts w:cs="Arial"/>
            <w:b/>
            <w:sz w:val="24"/>
          </w:rPr>
          <w:fldChar w:fldCharType="separate"/>
        </w:r>
        <w:r w:rsidR="007E0E57" w:rsidRPr="007E0E57">
          <w:rPr>
            <w:rFonts w:cs="Arial"/>
            <w:b/>
            <w:noProof/>
            <w:sz w:val="24"/>
            <w:lang w:val="es-ES"/>
          </w:rPr>
          <w:t>77</w:t>
        </w:r>
        <w:r w:rsidRPr="00384192">
          <w:rPr>
            <w:rFonts w:cs="Arial"/>
            <w:b/>
            <w:sz w:val="24"/>
          </w:rPr>
          <w:fldChar w:fldCharType="end"/>
        </w:r>
      </w:p>
    </w:sdtContent>
  </w:sdt>
  <w:p w:rsidR="00767FCE" w:rsidRDefault="00767FCE"/>
  <w:p w:rsidR="00767FCE" w:rsidRDefault="00767FCE"/>
  <w:p w:rsidR="00767FCE" w:rsidRDefault="00767F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2FF" w:rsidRDefault="00CA22FF" w:rsidP="00D017A0">
      <w:r>
        <w:separator/>
      </w:r>
    </w:p>
  </w:footnote>
  <w:footnote w:type="continuationSeparator" w:id="0">
    <w:p w:rsidR="00CA22FF" w:rsidRDefault="00CA22FF" w:rsidP="00D017A0">
      <w:r>
        <w:continuationSeparator/>
      </w:r>
    </w:p>
  </w:footnote>
  <w:footnote w:id="1">
    <w:p w:rsidR="00767FCE" w:rsidRPr="0006034D" w:rsidRDefault="00767FCE" w:rsidP="0006034D">
      <w:pPr>
        <w:pStyle w:val="Textonotapie"/>
        <w:spacing w:line="240" w:lineRule="auto"/>
        <w:ind w:firstLine="0"/>
        <w:rPr>
          <w:rFonts w:cs="Arial"/>
          <w:lang w:val="es-MX"/>
        </w:rPr>
      </w:pPr>
      <w:r w:rsidRPr="0006034D">
        <w:rPr>
          <w:rStyle w:val="Refdenotaalpie"/>
          <w:rFonts w:cs="Arial"/>
        </w:rPr>
        <w:footnoteRef/>
      </w:r>
      <w:r w:rsidRPr="0006034D">
        <w:rPr>
          <w:rFonts w:cs="Arial"/>
        </w:rPr>
        <w:t xml:space="preserve"> </w:t>
      </w:r>
      <w:r w:rsidRPr="0006034D">
        <w:rPr>
          <w:rFonts w:cs="Arial"/>
          <w:lang w:val="es-MX"/>
        </w:rPr>
        <w:t xml:space="preserve">Es importante referir que las demandas de inconstitucionalidad son exactamente iguales.  </w:t>
      </w:r>
    </w:p>
  </w:footnote>
  <w:footnote w:id="2">
    <w:p w:rsidR="00767FCE" w:rsidRPr="0006034D" w:rsidRDefault="00767FCE" w:rsidP="0006034D">
      <w:pPr>
        <w:pStyle w:val="Textonotapie"/>
        <w:spacing w:line="240" w:lineRule="auto"/>
        <w:ind w:firstLine="0"/>
        <w:rPr>
          <w:rFonts w:cs="Arial"/>
          <w:lang w:val="es-MX"/>
        </w:rPr>
      </w:pPr>
      <w:r w:rsidRPr="0006034D">
        <w:rPr>
          <w:rStyle w:val="Refdenotaalpie"/>
          <w:rFonts w:cs="Arial"/>
        </w:rPr>
        <w:footnoteRef/>
      </w:r>
      <w:r w:rsidRPr="0006034D">
        <w:rPr>
          <w:rFonts w:cs="Arial"/>
        </w:rPr>
        <w:t xml:space="preserve"> Ello, según el Congreso local, para cumplir la sentencia SUP- REC-588/2018 de la Sala Superior del Tribunal Electoral de la Federación, mediante la que se obligó al Congreso de Sinaloa a incluir en la estructura de los ayuntamientos a los representantes de las comunidades indígenas y que estos serían electros de acuerdo a los usos y costumbres que rigieran a cada comunidad.</w:t>
      </w:r>
    </w:p>
  </w:footnote>
  <w:footnote w:id="3">
    <w:p w:rsidR="00767FCE" w:rsidRPr="0006034D" w:rsidRDefault="00767FCE" w:rsidP="0006034D">
      <w:pPr>
        <w:pStyle w:val="corte4fondo"/>
        <w:spacing w:line="240" w:lineRule="auto"/>
        <w:ind w:firstLine="0"/>
        <w:rPr>
          <w:rFonts w:cs="Arial"/>
          <w:sz w:val="20"/>
          <w:szCs w:val="20"/>
        </w:rPr>
      </w:pPr>
      <w:r w:rsidRPr="0006034D">
        <w:rPr>
          <w:rStyle w:val="Refdenotaalpie"/>
          <w:rFonts w:cs="Arial"/>
          <w:sz w:val="20"/>
          <w:szCs w:val="20"/>
        </w:rPr>
        <w:footnoteRef/>
      </w:r>
      <w:r w:rsidRPr="0006034D">
        <w:rPr>
          <w:rFonts w:cs="Arial"/>
          <w:sz w:val="20"/>
          <w:szCs w:val="20"/>
        </w:rPr>
        <w:t xml:space="preserve"> Artículo 60. El plazo para ejercitar la acción de inconstitucionalidad será de treinta días naturales contados a partir del día siguiente a la fecha en que la ley o tratado internacional impugnados sean publicados en el correspondiente medio oficial. Si el último día del plazo fuese inhábil, la demanda podrá presentarse al primer día hábil siguiente.</w:t>
      </w:r>
    </w:p>
    <w:p w:rsidR="00767FCE" w:rsidRPr="0006034D" w:rsidRDefault="00767FCE" w:rsidP="0006034D">
      <w:pPr>
        <w:pStyle w:val="corte4fondo"/>
        <w:spacing w:line="240" w:lineRule="auto"/>
        <w:ind w:firstLine="0"/>
        <w:rPr>
          <w:rFonts w:cs="Arial"/>
          <w:sz w:val="20"/>
          <w:szCs w:val="20"/>
        </w:rPr>
      </w:pPr>
      <w:r w:rsidRPr="0006034D">
        <w:rPr>
          <w:rFonts w:cs="Arial"/>
          <w:sz w:val="20"/>
          <w:szCs w:val="20"/>
        </w:rPr>
        <w:t>En materia electoral, para el cómputo de los plazos, todos los días son hábiles.</w:t>
      </w:r>
    </w:p>
  </w:footnote>
  <w:footnote w:id="4">
    <w:p w:rsidR="00767FCE" w:rsidRPr="0006034D" w:rsidRDefault="00767FCE" w:rsidP="0006034D">
      <w:pPr>
        <w:pStyle w:val="Textonotapie"/>
        <w:spacing w:line="240" w:lineRule="auto"/>
        <w:ind w:firstLine="0"/>
        <w:rPr>
          <w:rFonts w:cs="Arial"/>
        </w:rPr>
      </w:pPr>
      <w:r w:rsidRPr="0006034D">
        <w:rPr>
          <w:rStyle w:val="Refdenotaalpie"/>
          <w:rFonts w:cs="Arial"/>
        </w:rPr>
        <w:footnoteRef/>
      </w:r>
      <w:r w:rsidRPr="0006034D">
        <w:rPr>
          <w:rFonts w:cs="Arial"/>
        </w:rPr>
        <w:t xml:space="preserve"> La Suprema Corte de Justicia de la Nación conocerá́, en los términos que señale la ley reglamentaria, de los asuntos siguientes: </w:t>
      </w:r>
    </w:p>
    <w:p w:rsidR="00767FCE" w:rsidRPr="0006034D" w:rsidRDefault="00767FCE" w:rsidP="0006034D">
      <w:pPr>
        <w:pStyle w:val="Textonotapie"/>
        <w:spacing w:line="240" w:lineRule="auto"/>
        <w:ind w:firstLine="0"/>
        <w:rPr>
          <w:rFonts w:cs="Arial"/>
        </w:rPr>
      </w:pPr>
      <w:r w:rsidRPr="0006034D">
        <w:rPr>
          <w:rFonts w:cs="Arial"/>
        </w:rPr>
        <w:t>[…]</w:t>
      </w:r>
    </w:p>
    <w:p w:rsidR="00767FCE" w:rsidRPr="0006034D" w:rsidRDefault="00767FCE" w:rsidP="0006034D">
      <w:pPr>
        <w:pStyle w:val="Textonotapie"/>
        <w:spacing w:line="240" w:lineRule="auto"/>
        <w:ind w:firstLine="0"/>
        <w:rPr>
          <w:rFonts w:cs="Arial"/>
        </w:rPr>
      </w:pPr>
      <w:r w:rsidRPr="0006034D">
        <w:rPr>
          <w:rFonts w:cs="Arial"/>
        </w:rPr>
        <w:t xml:space="preserve">II. De las acciones de inconstitucionalidad que tengan por objeto plantear la posible contradicción entre una norma de carácter general y esta Constitución. </w:t>
      </w:r>
    </w:p>
    <w:p w:rsidR="00767FCE" w:rsidRPr="0006034D" w:rsidRDefault="00767FCE" w:rsidP="0006034D">
      <w:pPr>
        <w:pStyle w:val="Textonotapie"/>
        <w:spacing w:line="240" w:lineRule="auto"/>
        <w:ind w:firstLine="0"/>
        <w:rPr>
          <w:rFonts w:cs="Arial"/>
        </w:rPr>
      </w:pPr>
      <w:r w:rsidRPr="0006034D">
        <w:rPr>
          <w:rFonts w:cs="Arial"/>
        </w:rPr>
        <w:t>[…]</w:t>
      </w:r>
    </w:p>
    <w:p w:rsidR="00767FCE" w:rsidRPr="0006034D" w:rsidRDefault="00767FCE" w:rsidP="0006034D">
      <w:pPr>
        <w:pStyle w:val="Textonotapie"/>
        <w:spacing w:line="240" w:lineRule="auto"/>
        <w:ind w:firstLine="0"/>
        <w:rPr>
          <w:rFonts w:cs="Arial"/>
        </w:rPr>
      </w:pPr>
      <w:r w:rsidRPr="0006034D">
        <w:rPr>
          <w:rFonts w:cs="Arial"/>
        </w:rPr>
        <w:t xml:space="preserve">f) Los partidos políticos con registro ante el Instituto Nacional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otorgó el registro; </w:t>
      </w:r>
    </w:p>
  </w:footnote>
  <w:footnote w:id="5">
    <w:p w:rsidR="00767FCE" w:rsidRPr="0006034D" w:rsidRDefault="00767FCE" w:rsidP="0006034D">
      <w:pPr>
        <w:pStyle w:val="NormalWeb"/>
        <w:spacing w:before="0" w:beforeAutospacing="0" w:after="0" w:afterAutospacing="0" w:line="240" w:lineRule="auto"/>
        <w:ind w:firstLine="0"/>
        <w:rPr>
          <w:rFonts w:cs="Arial"/>
          <w:sz w:val="20"/>
          <w:szCs w:val="20"/>
          <w:lang w:val="es-ES_tradnl"/>
        </w:rPr>
      </w:pPr>
      <w:r w:rsidRPr="0006034D">
        <w:rPr>
          <w:rStyle w:val="Refdenotaalpie"/>
          <w:rFonts w:cs="Arial"/>
          <w:sz w:val="20"/>
          <w:szCs w:val="20"/>
        </w:rPr>
        <w:footnoteRef/>
      </w:r>
      <w:r w:rsidRPr="0006034D">
        <w:rPr>
          <w:rFonts w:cs="Arial"/>
          <w:sz w:val="20"/>
          <w:szCs w:val="20"/>
        </w:rPr>
        <w:t xml:space="preserve"> Artículo 62. […]</w:t>
      </w:r>
    </w:p>
    <w:p w:rsidR="00767FCE" w:rsidRPr="0006034D" w:rsidRDefault="00767FCE" w:rsidP="0006034D">
      <w:pPr>
        <w:pStyle w:val="NormalWeb"/>
        <w:spacing w:before="0" w:beforeAutospacing="0" w:after="0" w:afterAutospacing="0" w:line="240" w:lineRule="auto"/>
        <w:ind w:firstLine="0"/>
        <w:rPr>
          <w:rFonts w:cs="Arial"/>
          <w:sz w:val="20"/>
          <w:szCs w:val="20"/>
        </w:rPr>
      </w:pPr>
      <w:r w:rsidRPr="0006034D">
        <w:rPr>
          <w:rFonts w:cs="Arial"/>
          <w:sz w:val="20"/>
          <w:szCs w:val="20"/>
        </w:rPr>
        <w:t xml:space="preserve">En los términos previstos por el inciso f) de la fracción II del artículo 105 de la Constitución Política de los Estados Unidos Mexicanos, se consideraran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 </w:t>
      </w:r>
    </w:p>
  </w:footnote>
  <w:footnote w:id="6">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El texto y datos de identificación de la jurisprudencia son los siguientes. “La Suprema Corte de Justicia de la Nación ha sostenido que las causales de improcedencia propuestas en los juicios de amparo deben ser claras e inobjetables, de lo que se desprende que si en una acción de inconstitucionalidad se hace valer una causal que involucra una argumentación íntimamente relacionada con el fondo del negocio, debe desestimarse y, de no operar otro motivo de improcedencia estudiar los conceptos de invalidez. [Semanario Judicial de la Federación y su Gaceta, Novena Época, registro 181395, tomo XIX, junio de 2004, pág. 865.].”</w:t>
      </w:r>
    </w:p>
  </w:footnote>
  <w:footnote w:id="7">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Tesis 25/2016, Jurisprudencia, Pleno, Décima Época, Gaceta del Semanario Judicial de la Federación, Libro 35, octubre de 2016, Tomo I, página 65, registro número 2012802</w:t>
      </w:r>
    </w:p>
  </w:footnote>
  <w:footnote w:id="8">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Resueltas en sesión de cuatro de enero de dos mil siete, por mayoría de ocho votos.</w:t>
      </w:r>
    </w:p>
  </w:footnote>
  <w:footnote w:id="9">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Resuelta en sesión del Pleno celebrada el treinta de agosto de dos mil siete, por unanimidad de once votos de los señores Ministros Aguirre Anguiano, Cossío Díaz, Luna Ramos, Franco González Salas, Góngora Pimentel, Gudiño Pelayo, Azuela Güitrón, Valls Hernández, Sánchez Cordero de García Villegas, Silva Meza y Presidente Ortiz Mayagoitia.</w:t>
      </w:r>
    </w:p>
  </w:footnote>
  <w:footnote w:id="10">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Resuelta por el Pleno en sesión celebrada el trece de septiembre de dos mil dieciocho, por unanimidad de nueve votos de los Ministros Gutiérrez Ortiz Mena, Franco González Salas, Zaldívar Lelo de Larrea, Pardo Rebolledo, Piña Hernández, Medina Mora I., Laynez Potisek, Pérez Dayán y Presidenta en Funciones Luna Ramos.</w:t>
      </w:r>
    </w:p>
  </w:footnote>
  <w:footnote w:id="11">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Resuelta en sesión de diez de noviembre de dos mil quince, por mayoría de ocho votos de los Ministros Gutiérrez Ortiz Mena, Cossío Díaz, Luna Ramos, Pardo Rebolledo, Medina Mora I., Sánchez Cordero de García Villegas, Pérez Dayán y Presidente Aguilar Morales, respecto del considerando séptimo, consistente en reconocer la validez del proceso legislativo controvertido. Los Ministros Franco González Salas, Zaldívar Lelo de Larrea y Silva Meza votaron en contra.</w:t>
      </w:r>
    </w:p>
  </w:footnote>
  <w:footnote w:id="12">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ARTÍCULO 141.  Cuando se presente ante el Congreso una iniciativa, primeramente, deberá pasar a la Comisión de Protocolo y Régimen Orgánico Interior para que determine si cumple con los requisitos de ley y pueda ser registrada a efectos de ser turnada a su lectura correspondiente.</w:t>
      </w:r>
    </w:p>
  </w:footnote>
  <w:footnote w:id="13">
    <w:p w:rsidR="00767FCE" w:rsidRPr="0006034D" w:rsidRDefault="00767FCE" w:rsidP="0006034D">
      <w:pPr>
        <w:pStyle w:val="Textonotapie"/>
        <w:spacing w:line="240" w:lineRule="auto"/>
        <w:ind w:firstLine="0"/>
        <w:rPr>
          <w:rFonts w:cs="Arial"/>
        </w:rPr>
      </w:pPr>
      <w:r w:rsidRPr="0006034D">
        <w:rPr>
          <w:rStyle w:val="Refdenotaalpie"/>
          <w:rFonts w:cs="Arial"/>
        </w:rPr>
        <w:footnoteRef/>
      </w:r>
      <w:r w:rsidRPr="0006034D">
        <w:rPr>
          <w:rFonts w:cs="Arial"/>
        </w:rPr>
        <w:t xml:space="preserve"> ARTÍCULO 144. Las iniciativas presentadas podrán ser leídas en dos sesiones diferentes; primero en la que fueren presentadas y después en la que disponga la Mesa Directiva del Congreso, salvo disposición especial que señale otro trámite.</w:t>
      </w:r>
    </w:p>
    <w:p w:rsidR="00767FCE" w:rsidRPr="0006034D" w:rsidRDefault="00767FCE" w:rsidP="0006034D">
      <w:pPr>
        <w:pStyle w:val="Textonotapie"/>
        <w:spacing w:line="240" w:lineRule="auto"/>
        <w:ind w:firstLine="0"/>
        <w:rPr>
          <w:rFonts w:cs="Arial"/>
        </w:rPr>
      </w:pPr>
      <w:r w:rsidRPr="0006034D">
        <w:rPr>
          <w:rFonts w:cs="Arial"/>
        </w:rPr>
        <w:t>Cuando el texto de la iniciativa se haya distribuido con anticipación, podrá ser tramitada con una sola lectura con la aprobación de la Asamblea.</w:t>
      </w:r>
    </w:p>
    <w:p w:rsidR="00767FCE" w:rsidRPr="0006034D" w:rsidRDefault="00767FCE" w:rsidP="0006034D">
      <w:pPr>
        <w:pStyle w:val="Textonotapie"/>
        <w:spacing w:line="240" w:lineRule="auto"/>
        <w:ind w:firstLine="0"/>
        <w:rPr>
          <w:rFonts w:cs="Arial"/>
        </w:rPr>
      </w:pPr>
      <w:r w:rsidRPr="0006034D">
        <w:rPr>
          <w:rFonts w:cs="Arial"/>
        </w:rPr>
        <w:t>Cuando se trate de iniciativas sumamente voluminosas, el Presidente puede someter al Pleno la determinación de sustituir la lectura, por la entrega de un tanto de la iniciativa impresa, para que cada legislador la estudie. La votación de este acuerdo será económica.</w:t>
      </w:r>
    </w:p>
    <w:p w:rsidR="00767FCE" w:rsidRPr="0006034D" w:rsidRDefault="00767FCE" w:rsidP="0006034D">
      <w:pPr>
        <w:pStyle w:val="Textonotapie"/>
        <w:spacing w:line="240" w:lineRule="auto"/>
        <w:ind w:firstLine="0"/>
        <w:rPr>
          <w:rFonts w:cs="Arial"/>
          <w:lang w:val="es-ES"/>
        </w:rPr>
      </w:pPr>
      <w:r w:rsidRPr="0006034D">
        <w:rPr>
          <w:rFonts w:cs="Arial"/>
        </w:rPr>
        <w:t>En el caso de iniciativas de pensiones, serán tramitadas con una sola lectura y de tomarse en consideración se turnarán a la Comisión que corresponda.</w:t>
      </w:r>
    </w:p>
  </w:footnote>
  <w:footnote w:id="14">
    <w:p w:rsidR="00767FCE" w:rsidRPr="0006034D" w:rsidRDefault="00767FCE" w:rsidP="0006034D">
      <w:pPr>
        <w:pStyle w:val="Textonotapie"/>
        <w:spacing w:line="240" w:lineRule="auto"/>
        <w:ind w:firstLine="0"/>
        <w:rPr>
          <w:rFonts w:cs="Arial"/>
        </w:rPr>
      </w:pPr>
      <w:r w:rsidRPr="0006034D">
        <w:rPr>
          <w:rStyle w:val="Refdenotaalpie"/>
          <w:rFonts w:cs="Arial"/>
        </w:rPr>
        <w:footnoteRef/>
      </w:r>
      <w:r w:rsidRPr="0006034D">
        <w:rPr>
          <w:rFonts w:cs="Arial"/>
        </w:rPr>
        <w:t xml:space="preserve"> ARTÍCULO 145. El día de la segunda lectura podrá exponer su autor, si lo tuviere a bien, o uno de ellos si fueren varios, los fundamentos que las apoyan, y podrán hablar una sola vez el autor de ella en pro y un miembro de la Cámara en contra.  Estas prerrogativas no son extensivas a los simples ciudadanos que hagan uso del derecho de iniciativa.</w:t>
      </w:r>
    </w:p>
    <w:p w:rsidR="00767FCE" w:rsidRPr="0006034D" w:rsidRDefault="00767FCE" w:rsidP="0006034D">
      <w:pPr>
        <w:pStyle w:val="Textonotapie"/>
        <w:spacing w:line="240" w:lineRule="auto"/>
        <w:ind w:firstLine="0"/>
        <w:rPr>
          <w:rFonts w:cs="Arial"/>
          <w:lang w:val="es-ES"/>
        </w:rPr>
      </w:pPr>
      <w:r w:rsidRPr="0006034D">
        <w:rPr>
          <w:rFonts w:cs="Arial"/>
        </w:rPr>
        <w:t>Podrá dispensarse la segunda lectura, siempre que la Cámara lo acuerde, a petición de algún Diputado, conforme a los requisitos para la dispensa de trámites.</w:t>
      </w:r>
    </w:p>
  </w:footnote>
  <w:footnote w:id="15">
    <w:p w:rsidR="00767FCE" w:rsidRPr="0006034D" w:rsidRDefault="00767FCE" w:rsidP="0006034D">
      <w:pPr>
        <w:pStyle w:val="Textonotapie"/>
        <w:spacing w:line="240" w:lineRule="auto"/>
        <w:ind w:firstLine="0"/>
        <w:rPr>
          <w:rFonts w:cs="Arial"/>
        </w:rPr>
      </w:pPr>
      <w:r w:rsidRPr="0006034D">
        <w:rPr>
          <w:rStyle w:val="Refdenotaalpie"/>
          <w:rFonts w:cs="Arial"/>
        </w:rPr>
        <w:footnoteRef/>
      </w:r>
      <w:r w:rsidRPr="0006034D">
        <w:rPr>
          <w:rFonts w:cs="Arial"/>
        </w:rPr>
        <w:t xml:space="preserve"> ARTÍCULO 145. El día de la segunda lectura podrá exponer su autor, si lo tuviere a bien, o uno de ellos si fueren varios, los fundamentos que las apoyan, y podrán hablar una sola vez el autor de ella en pro y un miembro de la Cámara en contra.  Estas prerrogativas no son extensivas a los simples ciudadanos que hagan uso del derecho de iniciativa.</w:t>
      </w:r>
    </w:p>
    <w:p w:rsidR="00767FCE" w:rsidRPr="0006034D" w:rsidRDefault="00767FCE" w:rsidP="0006034D">
      <w:pPr>
        <w:pStyle w:val="Textonotapie"/>
        <w:spacing w:line="240" w:lineRule="auto"/>
        <w:ind w:firstLine="0"/>
        <w:rPr>
          <w:rFonts w:cs="Arial"/>
          <w:lang w:val="es-ES"/>
        </w:rPr>
      </w:pPr>
      <w:r w:rsidRPr="0006034D">
        <w:rPr>
          <w:rFonts w:cs="Arial"/>
        </w:rPr>
        <w:t>Podrá dispensarse la segunda lectura, siempre que la Cámara lo acuerde, a petición de algún Diputado, conforme a los requisitos para la dispensa de trámites.</w:t>
      </w:r>
    </w:p>
  </w:footnote>
  <w:footnote w:id="16">
    <w:p w:rsidR="00767FCE" w:rsidRPr="0006034D" w:rsidRDefault="00767FCE" w:rsidP="0006034D">
      <w:pPr>
        <w:pStyle w:val="Textonotapie"/>
        <w:spacing w:line="240" w:lineRule="auto"/>
        <w:ind w:firstLine="0"/>
        <w:rPr>
          <w:rFonts w:cs="Arial"/>
        </w:rPr>
      </w:pPr>
      <w:r w:rsidRPr="0006034D">
        <w:rPr>
          <w:rStyle w:val="Refdenotaalpie"/>
          <w:rFonts w:cs="Arial"/>
        </w:rPr>
        <w:footnoteRef/>
      </w:r>
      <w:r w:rsidRPr="0006034D">
        <w:rPr>
          <w:rFonts w:cs="Arial"/>
        </w:rPr>
        <w:t xml:space="preserve"> ARTÍCULO 147. Las iniciativas de Ley que presente la Legislatura del Estado ante el Congreso de la Unión serán acordadas por el Pleno y se firmarán por el Presidente y los Secretarios.</w:t>
      </w:r>
    </w:p>
    <w:p w:rsidR="00767FCE" w:rsidRPr="0006034D" w:rsidRDefault="00767FCE" w:rsidP="0006034D">
      <w:pPr>
        <w:pStyle w:val="Textonotapie"/>
        <w:spacing w:line="240" w:lineRule="auto"/>
        <w:ind w:firstLine="0"/>
        <w:rPr>
          <w:rFonts w:cs="Arial"/>
        </w:rPr>
      </w:pPr>
      <w:r w:rsidRPr="0006034D">
        <w:rPr>
          <w:rFonts w:cs="Arial"/>
        </w:rPr>
        <w:t>Para el caso de las iniciativas que quedaren pendientes de resolución de una Legislatura a otra, el iniciador deberá ratificarlas ante la nueva Legislatura durante su primer período ordinario de sesiones.</w:t>
      </w:r>
    </w:p>
    <w:p w:rsidR="00767FCE" w:rsidRPr="0006034D" w:rsidRDefault="00767FCE" w:rsidP="0006034D">
      <w:pPr>
        <w:pStyle w:val="Textonotapie"/>
        <w:spacing w:line="240" w:lineRule="auto"/>
        <w:ind w:firstLine="0"/>
        <w:rPr>
          <w:rFonts w:cs="Arial"/>
          <w:lang w:val="es-ES"/>
        </w:rPr>
      </w:pPr>
      <w:r w:rsidRPr="0006034D">
        <w:rPr>
          <w:rFonts w:cs="Arial"/>
        </w:rPr>
        <w:t>Toda iniciativa deberá ser dictaminada por la Comisión o las Comisiones respectivas, dentro de un plazo máximo de seis meses, contados a partir del día siguiente en que fueren turnadas a la Comisión o Comisiones correspondientes, con excepción del caso de iniciativas de Ley que propongan nuevos cuerpos normativos.</w:t>
      </w:r>
    </w:p>
  </w:footnote>
  <w:footnote w:id="17">
    <w:p w:rsidR="00767FCE" w:rsidRPr="0006034D" w:rsidRDefault="00767FCE" w:rsidP="0006034D">
      <w:pPr>
        <w:pStyle w:val="Textonotapie"/>
        <w:spacing w:line="240" w:lineRule="auto"/>
        <w:ind w:firstLine="0"/>
        <w:rPr>
          <w:rFonts w:cs="Arial"/>
        </w:rPr>
      </w:pPr>
      <w:r w:rsidRPr="0006034D">
        <w:rPr>
          <w:rStyle w:val="Refdenotaalpie"/>
          <w:rFonts w:cs="Arial"/>
        </w:rPr>
        <w:footnoteRef/>
      </w:r>
      <w:r w:rsidRPr="0006034D">
        <w:rPr>
          <w:rFonts w:cs="Arial"/>
        </w:rPr>
        <w:t xml:space="preserve"> ARTÍCULO 150. Las Comisiones tomarán sus decisiones por mayoría de votos de sus miembros. Cuando alguno de sus miembros disienta de la resolución adoptada, podrá expresar su voto particular.</w:t>
      </w:r>
    </w:p>
    <w:p w:rsidR="00767FCE" w:rsidRPr="0006034D" w:rsidRDefault="00767FCE" w:rsidP="0006034D">
      <w:pPr>
        <w:pStyle w:val="Textonotapie"/>
        <w:spacing w:line="240" w:lineRule="auto"/>
        <w:ind w:firstLine="0"/>
        <w:rPr>
          <w:rFonts w:cs="Arial"/>
          <w:lang w:val="es-ES"/>
        </w:rPr>
      </w:pPr>
      <w:r w:rsidRPr="0006034D">
        <w:rPr>
          <w:rFonts w:cs="Arial"/>
        </w:rPr>
        <w:t>Los votos particulares serán declarativos y su fin es el de dejar asentada una determinada posición. Cuando alguno de los miembros de la Comisión no esté de acuerdo con algún punto particular del dictamen general, podrá firmar el dictamen y emitir su voto particular sobre el aspecto del que tuviere objeciones.</w:t>
      </w:r>
    </w:p>
  </w:footnote>
  <w:footnote w:id="18">
    <w:p w:rsidR="00767FCE" w:rsidRPr="0006034D" w:rsidRDefault="00767FCE" w:rsidP="0006034D">
      <w:pPr>
        <w:pStyle w:val="Textonotapie"/>
        <w:spacing w:line="240" w:lineRule="auto"/>
        <w:ind w:firstLine="0"/>
        <w:rPr>
          <w:rFonts w:cs="Arial"/>
        </w:rPr>
      </w:pPr>
      <w:r w:rsidRPr="0006034D">
        <w:rPr>
          <w:rStyle w:val="Refdenotaalpie"/>
          <w:rFonts w:cs="Arial"/>
        </w:rPr>
        <w:footnoteRef/>
      </w:r>
      <w:r w:rsidRPr="0006034D">
        <w:rPr>
          <w:rFonts w:cs="Arial"/>
        </w:rPr>
        <w:t xml:space="preserve"> ARTÍCULO 158. Los dictámenes que emitan las Comisiones tendrán dos lecturas en diferentes sesiones, pero dispensándose la segunda lectura se pondrá a discusión en la misma sesión. </w:t>
      </w:r>
    </w:p>
    <w:p w:rsidR="00767FCE" w:rsidRPr="0006034D" w:rsidRDefault="00767FCE" w:rsidP="0006034D">
      <w:pPr>
        <w:pStyle w:val="Textonotapie"/>
        <w:spacing w:line="240" w:lineRule="auto"/>
        <w:ind w:firstLine="0"/>
        <w:rPr>
          <w:rFonts w:cs="Arial"/>
          <w:lang w:val="es-ES"/>
        </w:rPr>
      </w:pPr>
      <w:r w:rsidRPr="0006034D">
        <w:rPr>
          <w:rFonts w:cs="Arial"/>
        </w:rPr>
        <w:t>Cuando se trate de dictámenes sumamente voluminosos, el Presidente puede someter al Pleno la determinación de dispensar ya sea la primera o segunda lectura, sustituyendo la lectura, por la entrega de un tanto del dictamen impreso, para que cada legislador lo estudie. La votación de este acuerdo será económica.</w:t>
      </w:r>
    </w:p>
  </w:footnote>
  <w:footnote w:id="19">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ARTÍCULO 164. No podrá ser puesto a discusión ningún proyecto de Ley o Decreto sin que previamente se hayan repartido a los Diputados las copias que contengan el dictamen. Llegado el momento de la discusión se leerá el dictamen de la Comisión y una vez concluido el Presidente declarará: "Está a discusión el dictamen".</w:t>
      </w:r>
    </w:p>
  </w:footnote>
  <w:footnote w:id="20">
    <w:p w:rsidR="00767FCE" w:rsidRPr="0006034D" w:rsidRDefault="00767FCE" w:rsidP="0006034D">
      <w:pPr>
        <w:pStyle w:val="Textonotapie"/>
        <w:spacing w:line="240" w:lineRule="auto"/>
        <w:ind w:firstLine="0"/>
        <w:rPr>
          <w:rFonts w:cs="Arial"/>
        </w:rPr>
      </w:pPr>
      <w:r w:rsidRPr="0006034D">
        <w:rPr>
          <w:rStyle w:val="Refdenotaalpie"/>
          <w:rFonts w:cs="Arial"/>
        </w:rPr>
        <w:footnoteRef/>
      </w:r>
      <w:r w:rsidRPr="0006034D">
        <w:rPr>
          <w:rFonts w:cs="Arial"/>
        </w:rPr>
        <w:t xml:space="preserve"> ARTÍCULO 168. Todo dictamen de Ley o Decreto se discutirá primero en lo general y después en lo particular. Cuando conste el dictamen de un único artículo será discutido una sola vez.</w:t>
      </w:r>
    </w:p>
    <w:p w:rsidR="00767FCE" w:rsidRPr="0006034D" w:rsidRDefault="00767FCE" w:rsidP="0006034D">
      <w:pPr>
        <w:pStyle w:val="Textonotapie"/>
        <w:spacing w:line="240" w:lineRule="auto"/>
        <w:ind w:firstLine="0"/>
        <w:rPr>
          <w:rFonts w:cs="Arial"/>
        </w:rPr>
      </w:pPr>
      <w:r w:rsidRPr="0006034D">
        <w:rPr>
          <w:rFonts w:cs="Arial"/>
        </w:rPr>
        <w:t>La discusión en lo general se hará, participando dos Diputados a favor y dos en contra, haciendo uso de la voz primero los que estén en contra y los que estén a favor lo harán al final.</w:t>
      </w:r>
    </w:p>
    <w:p w:rsidR="00767FCE" w:rsidRPr="0006034D" w:rsidRDefault="00767FCE" w:rsidP="0006034D">
      <w:pPr>
        <w:pStyle w:val="Textonotapie"/>
        <w:spacing w:line="240" w:lineRule="auto"/>
        <w:ind w:firstLine="0"/>
        <w:rPr>
          <w:rFonts w:cs="Arial"/>
        </w:rPr>
      </w:pPr>
      <w:r w:rsidRPr="0006034D">
        <w:rPr>
          <w:rFonts w:cs="Arial"/>
        </w:rPr>
        <w:t>Agotada la discusión en lo general, se ordenará por el Presidente proceder a la votación.</w:t>
      </w:r>
    </w:p>
    <w:p w:rsidR="00767FCE" w:rsidRPr="0006034D" w:rsidRDefault="00767FCE" w:rsidP="0006034D">
      <w:pPr>
        <w:pStyle w:val="Textonotapie"/>
        <w:spacing w:line="240" w:lineRule="auto"/>
        <w:ind w:firstLine="0"/>
        <w:rPr>
          <w:rFonts w:cs="Arial"/>
        </w:rPr>
      </w:pPr>
      <w:r w:rsidRPr="0006034D">
        <w:rPr>
          <w:rFonts w:cs="Arial"/>
        </w:rPr>
        <w:t>Aprobado en lo general el proyecto, se continuará su discusión en lo particular en los artículos que se hubiesen anotado por la Presidencia, observándose los lineamientos anteriores.</w:t>
      </w:r>
    </w:p>
    <w:p w:rsidR="00767FCE" w:rsidRPr="0006034D" w:rsidRDefault="00767FCE" w:rsidP="0006034D">
      <w:pPr>
        <w:pStyle w:val="Textonotapie"/>
        <w:spacing w:line="240" w:lineRule="auto"/>
        <w:ind w:firstLine="0"/>
        <w:rPr>
          <w:rFonts w:cs="Arial"/>
        </w:rPr>
      </w:pPr>
      <w:r w:rsidRPr="0006034D">
        <w:rPr>
          <w:rFonts w:cs="Arial"/>
        </w:rPr>
        <w:t>Cuando el proyecto conste de un único artículo no habrá necesidad de votarlo en lo particular.</w:t>
      </w:r>
    </w:p>
    <w:p w:rsidR="00767FCE" w:rsidRPr="0006034D" w:rsidRDefault="00767FCE" w:rsidP="0006034D">
      <w:pPr>
        <w:pStyle w:val="Textonotapie"/>
        <w:spacing w:line="240" w:lineRule="auto"/>
        <w:ind w:firstLine="0"/>
        <w:rPr>
          <w:rFonts w:cs="Arial"/>
        </w:rPr>
      </w:pPr>
      <w:r w:rsidRPr="0006034D">
        <w:rPr>
          <w:rFonts w:cs="Arial"/>
        </w:rPr>
        <w:t>La discusión en lo particular se hará separando los artículos que lo ameriten, y solamente éstos serán sometidos a ella, considerándose el resto como aprobados. Igualmente se tendrán por aprobados los artículos que reservados para su discusión en lo particular no se hayan hecho, respecto de ellos, proposiciones concretas por escrito. Para este efecto los participantes en la discusión señalarán previamente los artículos que formarán parte de ella y harán las proposiciones concretas, mismas que serán objeto de votación.</w:t>
      </w:r>
    </w:p>
    <w:p w:rsidR="00767FCE" w:rsidRPr="0006034D" w:rsidRDefault="00767FCE" w:rsidP="0006034D">
      <w:pPr>
        <w:pStyle w:val="Textonotapie"/>
        <w:spacing w:line="240" w:lineRule="auto"/>
        <w:ind w:firstLine="0"/>
        <w:rPr>
          <w:rFonts w:cs="Arial"/>
        </w:rPr>
      </w:pPr>
      <w:r w:rsidRPr="0006034D">
        <w:rPr>
          <w:rFonts w:cs="Arial"/>
        </w:rPr>
        <w:t>Para que las propuestas en lo particular procedan requerirán ser aprobadas en los términos de ley.</w:t>
      </w:r>
    </w:p>
    <w:p w:rsidR="00767FCE" w:rsidRPr="0006034D" w:rsidRDefault="00767FCE" w:rsidP="0006034D">
      <w:pPr>
        <w:pStyle w:val="Textonotapie"/>
        <w:spacing w:line="240" w:lineRule="auto"/>
        <w:ind w:firstLine="0"/>
        <w:rPr>
          <w:rFonts w:cs="Arial"/>
        </w:rPr>
      </w:pPr>
      <w:r w:rsidRPr="0006034D">
        <w:rPr>
          <w:rFonts w:cs="Arial"/>
        </w:rPr>
        <w:t>Durante la discusión en lo particular de un proyecto podrán presentarse, por escrito, otro u otros artículos para sustituir totalmente al que está a discusión o bien para modificar, adicionar o suprimir algo del mismo.</w:t>
      </w:r>
    </w:p>
    <w:p w:rsidR="00767FCE" w:rsidRPr="0006034D" w:rsidRDefault="00767FCE" w:rsidP="0006034D">
      <w:pPr>
        <w:pStyle w:val="Textonotapie"/>
        <w:spacing w:line="240" w:lineRule="auto"/>
        <w:ind w:firstLine="0"/>
        <w:rPr>
          <w:rFonts w:cs="Arial"/>
        </w:rPr>
      </w:pPr>
      <w:r w:rsidRPr="0006034D">
        <w:rPr>
          <w:rFonts w:cs="Arial"/>
        </w:rPr>
        <w:t>Cuando la mayoría de los miembros integrantes de la Comisión Dictaminadora acepte la sustitución, modificación o supresión, la proposición se considerará parte del proyecto de la Comisión. De no aceptarla ésta, el Presidente consultará al Pleno si la admite o no a discusión; en el primer caso la someterá a debate y posteriormente resolverá en torno a ella. Y en el segundo caso se tendrá por desechada y aprobada la que se presentó en el dictamen.</w:t>
      </w:r>
    </w:p>
  </w:footnote>
  <w:footnote w:id="21">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ARTÍCULO 178. Cuando ningún Diputado pida la palabra en contra de algún dictamen, se considerará discutido, procediéndose a su votación.</w:t>
      </w:r>
    </w:p>
  </w:footnote>
  <w:footnote w:id="22">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ARTÍCULO 189. Agotada la discusión en lo general o en lo particular, se ordenará por el Presidente que procederá la votación por los Diputados.</w:t>
      </w:r>
    </w:p>
  </w:footnote>
  <w:footnote w:id="23">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ARTÍCULO 199. Serán económicas todas las votaciones, con excepción de los casos en que se pida votación nominal, así como cuando se trate de la aprobación de Leyes o Decretos.</w:t>
      </w:r>
    </w:p>
  </w:footnote>
  <w:footnote w:id="24">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ARTÍCULO 208. Todas las votaciones de cualquier clase, se verificarán a mayoría absoluta de votos con los Diputados que se encuentren presentes en el momento de la votación, si forman quórum, a no ser en aquellos casos en que la Constitución o esta Ley señalen otra forma.</w:t>
      </w:r>
    </w:p>
  </w:footnote>
  <w:footnote w:id="25">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ARTÚCLO 217. Podrán dispensarse todos o cualquiera de los trámites formales previstos en esta Ley</w:t>
      </w:r>
    </w:p>
  </w:footnote>
  <w:footnote w:id="26">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ARTÍCULO 214. Para que se dispensen los trámites que debe correr un Proyecto de Ley o Iniciativa, se necesita proposición verbal o escrita, en que se pida a la Cámara la dispensa expresándose los trámites cuya dispensa se solicita, o si se pide la de todos.</w:t>
      </w:r>
    </w:p>
  </w:footnote>
  <w:footnote w:id="27">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ARTÍCULO 215. La proposición podrá ser puesta a discusión, la que versará sobre la urgencia u obvia resolución de la Ley o Decreto de que se trate, pudiendo hablar dos Diputados en pro y dos en contra.</w:t>
      </w:r>
    </w:p>
  </w:footnote>
  <w:footnote w:id="28">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Las acciones de inconstitucionalidad 151/2017, 108/2019 y su acumulada 118/2019 y 116/2019 y su acumulada 117/2019</w:t>
      </w:r>
      <w:r>
        <w:rPr>
          <w:rFonts w:cs="Arial"/>
        </w:rPr>
        <w:t>, por ejemplo</w:t>
      </w:r>
      <w:r w:rsidRPr="0006034D">
        <w:rPr>
          <w:rFonts w:cs="Arial"/>
        </w:rPr>
        <w:t>.</w:t>
      </w:r>
    </w:p>
  </w:footnote>
  <w:footnote w:id="29">
    <w:p w:rsidR="00767FCE" w:rsidRPr="0006034D" w:rsidRDefault="00767FCE" w:rsidP="0006034D">
      <w:pPr>
        <w:pStyle w:val="Textonotapie"/>
        <w:spacing w:line="240" w:lineRule="auto"/>
        <w:ind w:firstLine="0"/>
        <w:rPr>
          <w:rFonts w:cs="Arial"/>
        </w:rPr>
      </w:pPr>
      <w:r w:rsidRPr="0006034D">
        <w:rPr>
          <w:rStyle w:val="Refdenotaalpie"/>
          <w:rFonts w:cs="Arial"/>
        </w:rPr>
        <w:footnoteRef/>
      </w:r>
      <w:r w:rsidRPr="0006034D">
        <w:rPr>
          <w:rFonts w:cs="Arial"/>
        </w:rPr>
        <w:t xml:space="preserve"> El texto constitucional reformado el 14 de agosto de 2001 disponía lo siguiente:</w:t>
      </w:r>
    </w:p>
    <w:p w:rsidR="00767FCE" w:rsidRPr="0006034D" w:rsidRDefault="00767FCE" w:rsidP="0006034D">
      <w:pPr>
        <w:pStyle w:val="Textonotapie"/>
        <w:spacing w:line="240" w:lineRule="auto"/>
        <w:ind w:firstLine="0"/>
        <w:rPr>
          <w:rFonts w:cs="Arial"/>
        </w:rPr>
      </w:pPr>
      <w:r w:rsidRPr="0006034D">
        <w:rPr>
          <w:rFonts w:cs="Arial"/>
        </w:rPr>
        <w:t>“Artículo 2°. La Nación Mexicana es única e indivisible.</w:t>
      </w:r>
    </w:p>
    <w:p w:rsidR="00767FCE" w:rsidRPr="0006034D" w:rsidRDefault="00767FCE" w:rsidP="0006034D">
      <w:pPr>
        <w:pStyle w:val="Textonotapie"/>
        <w:spacing w:line="240" w:lineRule="auto"/>
        <w:ind w:firstLine="0"/>
        <w:rPr>
          <w:rFonts w:cs="Arial"/>
        </w:rPr>
      </w:pPr>
      <w:r w:rsidRPr="0006034D">
        <w:rPr>
          <w:rFonts w:cs="Arial"/>
        </w:rPr>
        <w:t>(…)</w:t>
      </w:r>
    </w:p>
    <w:p w:rsidR="00767FCE" w:rsidRPr="0006034D" w:rsidRDefault="00767FCE" w:rsidP="0006034D">
      <w:pPr>
        <w:pStyle w:val="Textonotapie"/>
        <w:spacing w:line="240" w:lineRule="auto"/>
        <w:ind w:firstLine="0"/>
        <w:rPr>
          <w:rFonts w:cs="Arial"/>
        </w:rPr>
      </w:pPr>
      <w:r w:rsidRPr="0006034D">
        <w:rPr>
          <w:rFonts w:cs="Arial"/>
        </w:rPr>
        <w:t xml:space="preserve">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w:t>
      </w:r>
      <w:r w:rsidRPr="0006034D">
        <w:rPr>
          <w:rFonts w:cs="Arial"/>
        </w:rPr>
        <w:t>etnolingüísticos y de asentamiento físico.</w:t>
      </w:r>
    </w:p>
    <w:p w:rsidR="00767FCE" w:rsidRPr="0006034D" w:rsidRDefault="00767FCE" w:rsidP="0006034D">
      <w:pPr>
        <w:pStyle w:val="Textonotapie"/>
        <w:spacing w:line="240" w:lineRule="auto"/>
        <w:ind w:firstLine="0"/>
        <w:rPr>
          <w:rFonts w:cs="Arial"/>
        </w:rPr>
      </w:pPr>
      <w:r w:rsidRPr="0006034D">
        <w:rPr>
          <w:rFonts w:cs="Arial"/>
        </w:rPr>
        <w:t>A. Esta Constitución reconoce y garantiza el derecho de los pueblos y las comunidades indígenas a la libre determinación y, en consecuencia, a la autonomía para:</w:t>
      </w:r>
    </w:p>
    <w:p w:rsidR="00767FCE" w:rsidRPr="0006034D" w:rsidRDefault="00767FCE" w:rsidP="0006034D">
      <w:pPr>
        <w:pStyle w:val="Textonotapie"/>
        <w:spacing w:line="240" w:lineRule="auto"/>
        <w:ind w:firstLine="0"/>
        <w:rPr>
          <w:rFonts w:cs="Arial"/>
        </w:rPr>
      </w:pPr>
      <w:r w:rsidRPr="0006034D">
        <w:rPr>
          <w:rFonts w:cs="Arial"/>
        </w:rPr>
        <w:t>I. Decidir sus formas internas de convivencia y organización social, económica, política y cultural.</w:t>
      </w:r>
    </w:p>
    <w:p w:rsidR="00767FCE" w:rsidRPr="0006034D" w:rsidRDefault="00767FCE" w:rsidP="0006034D">
      <w:pPr>
        <w:pStyle w:val="Textonotapie"/>
        <w:spacing w:line="240" w:lineRule="auto"/>
        <w:ind w:firstLine="0"/>
        <w:rPr>
          <w:rFonts w:cs="Arial"/>
        </w:rPr>
      </w:pPr>
      <w:r w:rsidRPr="0006034D">
        <w:rPr>
          <w:rFonts w:cs="Arial"/>
        </w:rPr>
        <w:t>III. Elegir de acuerdo con sus normas, procedimientos y prácticas tradicionales, a las autoridades o representantes para el ejercicio de sus formas propias de gobierno interno, garantizando la participación de las mujeres en condiciones de equidad frente a los varones, en un marco que respete el pacto federal y la soberanía de los estados.</w:t>
      </w:r>
    </w:p>
    <w:p w:rsidR="00767FCE" w:rsidRPr="0006034D" w:rsidRDefault="00767FCE" w:rsidP="0006034D">
      <w:pPr>
        <w:pStyle w:val="Textonotapie"/>
        <w:spacing w:line="240" w:lineRule="auto"/>
        <w:ind w:firstLine="0"/>
        <w:rPr>
          <w:rFonts w:cs="Arial"/>
        </w:rPr>
      </w:pPr>
      <w:r w:rsidRPr="0006034D">
        <w:rPr>
          <w:rFonts w:cs="Arial"/>
        </w:rPr>
        <w:t>(…)</w:t>
      </w:r>
    </w:p>
    <w:p w:rsidR="00767FCE" w:rsidRPr="0006034D" w:rsidRDefault="00767FCE" w:rsidP="0006034D">
      <w:pPr>
        <w:pStyle w:val="Textonotapie"/>
        <w:spacing w:line="240" w:lineRule="auto"/>
        <w:ind w:firstLine="0"/>
        <w:rPr>
          <w:rFonts w:cs="Arial"/>
        </w:rPr>
      </w:pPr>
      <w:r w:rsidRPr="0006034D">
        <w:rPr>
          <w:rFonts w:cs="Arial"/>
        </w:rPr>
        <w:t>B. La Federación, los Estados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767FCE" w:rsidRPr="0006034D" w:rsidRDefault="00767FCE" w:rsidP="0006034D">
      <w:pPr>
        <w:pStyle w:val="Textonotapie"/>
        <w:spacing w:line="240" w:lineRule="auto"/>
        <w:ind w:firstLine="0"/>
        <w:rPr>
          <w:rFonts w:cs="Arial"/>
        </w:rPr>
      </w:pPr>
      <w:r w:rsidRPr="0006034D">
        <w:rPr>
          <w:rFonts w:cs="Arial"/>
        </w:rPr>
        <w:t>Para abatir las carencias y rezagos que afectan a los pueblos y comunidades indígenas, dichas autoridades, tienen la obligación de:</w:t>
      </w:r>
    </w:p>
    <w:p w:rsidR="00767FCE" w:rsidRPr="0006034D" w:rsidRDefault="00767FCE" w:rsidP="0006034D">
      <w:pPr>
        <w:pStyle w:val="Textonotapie"/>
        <w:spacing w:line="240" w:lineRule="auto"/>
        <w:ind w:firstLine="0"/>
        <w:rPr>
          <w:rFonts w:cs="Arial"/>
        </w:rPr>
      </w:pPr>
      <w:r w:rsidRPr="0006034D">
        <w:rPr>
          <w:rFonts w:cs="Arial"/>
        </w:rPr>
        <w:t>(…)</w:t>
      </w:r>
    </w:p>
    <w:p w:rsidR="00767FCE" w:rsidRPr="0006034D" w:rsidRDefault="00767FCE" w:rsidP="0006034D">
      <w:pPr>
        <w:pStyle w:val="Textonotapie"/>
        <w:spacing w:line="240" w:lineRule="auto"/>
        <w:ind w:firstLine="0"/>
        <w:rPr>
          <w:rFonts w:cs="Arial"/>
        </w:rPr>
      </w:pPr>
      <w:r w:rsidRPr="0006034D">
        <w:rPr>
          <w:rFonts w:cs="Arial"/>
        </w:rPr>
        <w:t>IX. Consultar a los pueblos indígenas en la elaboración del Plan Nacional de Desarrollo y de los estatales y municipales y, en su caso, incorporar las recomendaciones y propuestas que realicen.</w:t>
      </w:r>
    </w:p>
    <w:p w:rsidR="00767FCE" w:rsidRPr="0006034D" w:rsidRDefault="00767FCE" w:rsidP="0006034D">
      <w:pPr>
        <w:pStyle w:val="Textonotapie"/>
        <w:spacing w:line="240" w:lineRule="auto"/>
        <w:ind w:firstLine="0"/>
        <w:rPr>
          <w:rFonts w:cs="Arial"/>
          <w:lang w:val="es-ES"/>
        </w:rPr>
      </w:pPr>
      <w:r w:rsidRPr="0006034D">
        <w:rPr>
          <w:rFonts w:cs="Arial"/>
        </w:rPr>
        <w:t>(…)”.</w:t>
      </w:r>
    </w:p>
  </w:footnote>
  <w:footnote w:id="30">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Publicado en el Diario oficial de la Federación el 3 de agosto de 1990.</w:t>
      </w:r>
    </w:p>
  </w:footnote>
  <w:footnote w:id="31">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ANAYA, James, Los pueblos indígenas en el derecho internacional, Madrid, Trotta, 2005, p. 137</w:t>
      </w:r>
    </w:p>
  </w:footnote>
  <w:footnote w:id="32">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Ibídem, p. 224</w:t>
      </w:r>
    </w:p>
  </w:footnote>
  <w:footnote w:id="33">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Caso del Pueblo Indígena </w:t>
      </w:r>
      <w:r w:rsidRPr="0006034D">
        <w:rPr>
          <w:rFonts w:cs="Arial"/>
        </w:rPr>
        <w:t>Kichwa de Sarayaku vs Ecuador. Corte Interamericana de Derechos Humanos, de 27 de junio de 2012 (Fondo y Reparaciones), párrafos 201 y 202.</w:t>
      </w:r>
    </w:p>
  </w:footnote>
  <w:footnote w:id="34">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Así lo ha sostenido el Comité para la Eliminación de la Discriminación Racial de la ONU en su Recomendación general Nº XXIII relativa a los derechos de los pueblos indígenas, del 51° periodo de sesiones, 1997, en su párrafo 4, inciso a).</w:t>
      </w:r>
    </w:p>
  </w:footnote>
  <w:footnote w:id="35">
    <w:p w:rsidR="00767FCE" w:rsidRPr="0006034D" w:rsidRDefault="00767FCE" w:rsidP="0006034D">
      <w:pPr>
        <w:pStyle w:val="Textonotapie"/>
        <w:spacing w:line="240" w:lineRule="auto"/>
        <w:ind w:firstLine="0"/>
        <w:rPr>
          <w:rFonts w:cs="Arial"/>
          <w:lang w:val="es-ES"/>
        </w:rPr>
      </w:pPr>
      <w:r w:rsidRPr="0006034D">
        <w:rPr>
          <w:rStyle w:val="Refdenotaalpie"/>
          <w:rFonts w:cs="Arial"/>
        </w:rPr>
        <w:footnoteRef/>
      </w:r>
      <w:r w:rsidRPr="0006034D">
        <w:rPr>
          <w:rFonts w:cs="Arial"/>
        </w:rPr>
        <w:t xml:space="preserve"> FUNCIÓN ELECTORAL A CARGO DE LAS AUTORIDADES ELECTORALES. PRINCIPIOS RECTORES DE SU EJERCICIO. La fracción IV del artículo 116 de la Constitución Política de los Estados Unidos Mexicanos establece que en el ejercicio de la función electoral a cargo de las autoridades electorales, serán principios rectores los de legalidad, imparcialidad, objetividad, certeza e independencia. Asimismo señala que las autoridades electorales deberán de gozar de autonomía en su funcionamiento e independencia en sus decisiones. La Suprema Corte de Justicia de la Nación ha estimado que en materia electoral el principio de legalidad significa la garantía formal para que los ciudadanos y las autoridades electorales actúen en estricto apego a las disposiciones consignadas en la ley, de tal manera que no se emitan o desplieguen conductas caprichosas o arbitrarias al margen del texto normativo; el de imparcialidad consiste en que en el ejercicio de sus funciones las autoridades electorales eviten irregularidades, desviaciones o la proclividad partidista; el de objetividad obliga a que las normas y mecanismos del proceso electoral estén diseñadas para evitar situaciones conflictivas sobre los actos previos a la jornada electoral, durante su desarrollo y en las etapas posteriores a la misma, y el de certeza consiste en dotar de facultades expresas a las autoridades locales de modo que todos los participantes en el proceso electoral conozcan previamente con claridad y seguridad las reglas a que su propia actuación y la de las autoridades electorales están sujetas. Por su parte, los conceptos de autonomía en el funcionamiento e independencia en las decisiones de las autoridades electorales implican una garantía constitucional a favor de los ciudadanos y de los propios partidos políticos, y se refiere a aquella situación institucional que permite a las autoridades electorales emitir sus decisiones con plena imparcialidad y en estricto apego a la normatividad aplicable al caso, sin tener que acatar o someterse a indicaciones, instrucciones, sugerencias o insinuaciones provenientes de superiores jerárquicos, de otros Poderes del Estado o de personas con las que guardan alguna relación de afinidad política, social o cultural.</w:t>
      </w:r>
    </w:p>
  </w:footnote>
  <w:footnote w:id="36">
    <w:p w:rsidR="00767FCE" w:rsidRPr="00577F41" w:rsidRDefault="00767FCE" w:rsidP="00160DD7">
      <w:pPr>
        <w:pStyle w:val="Textonotapie"/>
        <w:ind w:firstLine="0"/>
        <w:rPr>
          <w:lang w:val="es-MX"/>
        </w:rPr>
      </w:pPr>
      <w:r w:rsidRPr="00160DD7">
        <w:rPr>
          <w:rStyle w:val="Refdenotaalpie"/>
        </w:rPr>
        <w:footnoteRef/>
      </w:r>
      <w:r w:rsidRPr="00160DD7">
        <w:t xml:space="preserve"> Cabe señalar que en su opinión, la Sala Superior del Tribunal Electoral del Poder Judicial de la Federación expresó razones similares para considerar inválida esta porción normativa.</w:t>
      </w:r>
    </w:p>
  </w:footnote>
  <w:footnote w:id="37">
    <w:p w:rsidR="00767FCE" w:rsidRPr="0006034D" w:rsidRDefault="00767FCE" w:rsidP="0006034D">
      <w:pPr>
        <w:pStyle w:val="Textonotapie"/>
        <w:spacing w:line="240" w:lineRule="auto"/>
        <w:ind w:firstLine="0"/>
        <w:rPr>
          <w:rFonts w:cs="Arial"/>
        </w:rPr>
      </w:pPr>
      <w:r w:rsidRPr="0006034D">
        <w:rPr>
          <w:rStyle w:val="Refdenotaalpie"/>
          <w:rFonts w:cs="Arial"/>
        </w:rPr>
        <w:footnoteRef/>
      </w:r>
      <w:r w:rsidRPr="0006034D">
        <w:rPr>
          <w:rFonts w:cs="Arial"/>
        </w:rPr>
        <w:t xml:space="preserve"> Artículo 73. El Congreso tiene facultad:</w:t>
      </w:r>
    </w:p>
    <w:p w:rsidR="00767FCE" w:rsidRPr="0006034D" w:rsidRDefault="00767FCE" w:rsidP="0006034D">
      <w:pPr>
        <w:pStyle w:val="Textonotapie"/>
        <w:spacing w:line="240" w:lineRule="auto"/>
        <w:ind w:firstLine="0"/>
        <w:rPr>
          <w:rFonts w:cs="Arial"/>
        </w:rPr>
      </w:pPr>
      <w:r w:rsidRPr="0006034D">
        <w:rPr>
          <w:rFonts w:cs="Arial"/>
        </w:rPr>
        <w:t>[…]</w:t>
      </w:r>
    </w:p>
    <w:p w:rsidR="00767FCE" w:rsidRPr="0006034D" w:rsidRDefault="00767FCE" w:rsidP="0006034D">
      <w:pPr>
        <w:pStyle w:val="Textonotapie"/>
        <w:spacing w:line="240" w:lineRule="auto"/>
        <w:ind w:firstLine="0"/>
        <w:rPr>
          <w:rFonts w:cs="Arial"/>
          <w:lang w:val="es-ES"/>
        </w:rPr>
      </w:pPr>
      <w:r w:rsidRPr="0006034D">
        <w:rPr>
          <w:rFonts w:cs="Arial"/>
          <w:lang w:val="es-ES"/>
        </w:rPr>
        <w:t xml:space="preserve">XVI. </w:t>
      </w:r>
      <w:r w:rsidRPr="0006034D">
        <w:rPr>
          <w:rFonts w:cs="Arial"/>
          <w:lang w:val="es-ES"/>
        </w:rPr>
        <w:tab/>
        <w:t>Para dictar leyes sobre nacionalidad, condición jurídica de los extranjeros, ciudadanía, naturalización, colonización, emigración e inmigración y salubridad general de la República.</w:t>
      </w:r>
    </w:p>
    <w:p w:rsidR="00767FCE" w:rsidRPr="0006034D" w:rsidRDefault="00767FCE" w:rsidP="0006034D">
      <w:pPr>
        <w:pStyle w:val="Textonotapie"/>
        <w:spacing w:line="240" w:lineRule="auto"/>
        <w:ind w:firstLine="0"/>
        <w:rPr>
          <w:rFonts w:cs="Arial"/>
          <w:lang w:val="es-ES"/>
        </w:rPr>
      </w:pPr>
      <w:r w:rsidRPr="0006034D">
        <w:rPr>
          <w:rFonts w:cs="Arial"/>
          <w:lang w:val="es-ES"/>
        </w:rPr>
        <w:t xml:space="preserve">1a. </w:t>
      </w:r>
      <w:r w:rsidRPr="0006034D">
        <w:rPr>
          <w:rFonts w:cs="Arial"/>
          <w:lang w:val="es-ES"/>
        </w:rPr>
        <w:tab/>
        <w:t>El Consejo de Salubridad General dependerá directamente del Presidente de la República, sin intervención de ninguna Secretaría de Estado, y sus disposiciones generales serán obligatorias en el país.</w:t>
      </w:r>
    </w:p>
    <w:p w:rsidR="00767FCE" w:rsidRPr="0006034D" w:rsidRDefault="00767FCE" w:rsidP="0006034D">
      <w:pPr>
        <w:pStyle w:val="Textonotapie"/>
        <w:spacing w:line="240" w:lineRule="auto"/>
        <w:ind w:firstLine="0"/>
        <w:rPr>
          <w:rFonts w:cs="Arial"/>
          <w:lang w:val="es-ES"/>
        </w:rPr>
      </w:pPr>
      <w:r w:rsidRPr="0006034D">
        <w:rPr>
          <w:rFonts w:cs="Arial"/>
          <w:lang w:val="es-ES"/>
        </w:rPr>
        <w:t xml:space="preserve">2a. </w:t>
      </w:r>
      <w:r w:rsidRPr="0006034D">
        <w:rPr>
          <w:rFonts w:cs="Arial"/>
          <w:lang w:val="es-ES"/>
        </w:rPr>
        <w:tab/>
        <w:t>En caso de epidemias de carácter grave o peligro de invasión de enfermedades exóticas en el país, la Secretaría de Salud tendrá obligación de dictar inmediatamente las medidas preventivas indispensables, a reserva de ser después sancionadas por el Presidente de la República.</w:t>
      </w:r>
    </w:p>
    <w:p w:rsidR="00767FCE" w:rsidRPr="0006034D" w:rsidRDefault="00767FCE" w:rsidP="0006034D">
      <w:pPr>
        <w:pStyle w:val="Textonotapie"/>
        <w:spacing w:line="240" w:lineRule="auto"/>
        <w:ind w:firstLine="0"/>
        <w:rPr>
          <w:rFonts w:cs="Arial"/>
          <w:lang w:val="es-ES"/>
        </w:rPr>
      </w:pPr>
      <w:r w:rsidRPr="0006034D">
        <w:rPr>
          <w:rFonts w:cs="Arial"/>
          <w:lang w:val="es-ES"/>
        </w:rPr>
        <w:t xml:space="preserve">3a. </w:t>
      </w:r>
      <w:r w:rsidRPr="0006034D">
        <w:rPr>
          <w:rFonts w:cs="Arial"/>
          <w:lang w:val="es-ES"/>
        </w:rPr>
        <w:tab/>
        <w:t>La autoridad sanitaria será ejecutiva y sus disposiciones serán obedecidas por las autoridades administrativas del País.</w:t>
      </w:r>
    </w:p>
    <w:p w:rsidR="00767FCE" w:rsidRPr="0006034D" w:rsidRDefault="00767FCE" w:rsidP="0006034D">
      <w:pPr>
        <w:pStyle w:val="Textonotapie"/>
        <w:spacing w:line="240" w:lineRule="auto"/>
        <w:ind w:firstLine="0"/>
        <w:rPr>
          <w:rFonts w:cs="Arial"/>
          <w:lang w:val="es-ES"/>
        </w:rPr>
      </w:pPr>
      <w:r w:rsidRPr="0006034D">
        <w:rPr>
          <w:rFonts w:cs="Arial"/>
          <w:lang w:val="es-ES"/>
        </w:rPr>
        <w:t xml:space="preserve">4a. </w:t>
      </w:r>
      <w:r w:rsidRPr="0006034D">
        <w:rPr>
          <w:rFonts w:cs="Arial"/>
          <w:lang w:val="es-ES"/>
        </w:rPr>
        <w:tab/>
        <w:t>Las medidas que el Consejo haya puesto en vigor en la Campaña contra el alcoholismo y la venta de sustancias que envenenan al individuo o degeneran la especie humana, así como las adoptadas para prevenir y combatir la contaminación ambiental, serán después revisadas por el Congreso de la Unión en los casos que le competan.</w:t>
      </w:r>
    </w:p>
    <w:p w:rsidR="00767FCE" w:rsidRPr="0006034D" w:rsidRDefault="00767FCE" w:rsidP="0006034D">
      <w:pPr>
        <w:pStyle w:val="Textonotapie"/>
        <w:spacing w:line="240" w:lineRule="auto"/>
        <w:ind w:firstLine="0"/>
        <w:rPr>
          <w:rFonts w:cs="Arial"/>
          <w:lang w:val="es-ES"/>
        </w:rPr>
      </w:pPr>
      <w:r w:rsidRPr="0006034D">
        <w:rPr>
          <w:rFonts w:cs="Arial"/>
          <w:lang w:val="es-ES"/>
        </w:rPr>
        <w:t>[…]</w:t>
      </w:r>
    </w:p>
  </w:footnote>
  <w:footnote w:id="38">
    <w:p w:rsidR="00767FCE" w:rsidRPr="0006034D" w:rsidRDefault="00767FCE" w:rsidP="0006034D">
      <w:pPr>
        <w:pStyle w:val="Textonotapie"/>
        <w:spacing w:line="240" w:lineRule="auto"/>
        <w:ind w:firstLine="0"/>
        <w:rPr>
          <w:rFonts w:cs="Arial"/>
        </w:rPr>
      </w:pPr>
      <w:r w:rsidRPr="0006034D">
        <w:rPr>
          <w:rStyle w:val="Refdenotaalpie"/>
          <w:rFonts w:cs="Arial"/>
        </w:rPr>
        <w:footnoteRef/>
      </w:r>
      <w:r w:rsidRPr="0006034D">
        <w:rPr>
          <w:rFonts w:cs="Arial"/>
        </w:rPr>
        <w:t xml:space="preserve"> “Artículo 41. Las sentencias deberán contener:</w:t>
      </w:r>
    </w:p>
    <w:p w:rsidR="00767FCE" w:rsidRPr="0006034D" w:rsidRDefault="00767FCE" w:rsidP="0006034D">
      <w:pPr>
        <w:pStyle w:val="Textonotapie"/>
        <w:spacing w:line="240" w:lineRule="auto"/>
        <w:ind w:firstLine="0"/>
        <w:rPr>
          <w:rFonts w:cs="Arial"/>
        </w:rPr>
      </w:pPr>
      <w:r w:rsidRPr="0006034D">
        <w:rPr>
          <w:rFonts w:cs="Arial"/>
        </w:rPr>
        <w:t>I. La fijación breve y precisa de las normas generales o actos objeto de la controversia y, en su caso, la apreciación de las pruebas conducentes a tenerlos o no por demostrados;</w:t>
      </w:r>
    </w:p>
    <w:p w:rsidR="00767FCE" w:rsidRPr="0006034D" w:rsidRDefault="00767FCE" w:rsidP="0006034D">
      <w:pPr>
        <w:pStyle w:val="Textonotapie"/>
        <w:spacing w:line="240" w:lineRule="auto"/>
        <w:ind w:firstLine="0"/>
        <w:rPr>
          <w:rFonts w:cs="Arial"/>
        </w:rPr>
      </w:pPr>
      <w:r w:rsidRPr="0006034D">
        <w:rPr>
          <w:rFonts w:cs="Arial"/>
        </w:rPr>
        <w:t>II. Los preceptos que la fundamenten;</w:t>
      </w:r>
    </w:p>
    <w:p w:rsidR="00767FCE" w:rsidRPr="0006034D" w:rsidRDefault="00767FCE" w:rsidP="0006034D">
      <w:pPr>
        <w:pStyle w:val="Textonotapie"/>
        <w:spacing w:line="240" w:lineRule="auto"/>
        <w:ind w:firstLine="0"/>
        <w:rPr>
          <w:rFonts w:cs="Arial"/>
        </w:rPr>
      </w:pPr>
      <w:r w:rsidRPr="0006034D">
        <w:rPr>
          <w:rFonts w:cs="Arial"/>
        </w:rPr>
        <w:t>III. Las consideraciones que sustenten su sentido, así como los preceptos que en su caso se estimaren violados;</w:t>
      </w:r>
    </w:p>
    <w:p w:rsidR="00767FCE" w:rsidRPr="0006034D" w:rsidRDefault="00767FCE" w:rsidP="0006034D">
      <w:pPr>
        <w:pStyle w:val="Textonotapie"/>
        <w:spacing w:line="240" w:lineRule="auto"/>
        <w:ind w:firstLine="0"/>
        <w:rPr>
          <w:rFonts w:cs="Arial"/>
        </w:rPr>
      </w:pPr>
      <w:r w:rsidRPr="0006034D">
        <w:rPr>
          <w:rFonts w:cs="Arial"/>
        </w:rPr>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rsidR="00767FCE" w:rsidRPr="0006034D" w:rsidRDefault="00767FCE" w:rsidP="0006034D">
      <w:pPr>
        <w:pStyle w:val="Textonotapie"/>
        <w:spacing w:line="240" w:lineRule="auto"/>
        <w:ind w:firstLine="0"/>
        <w:rPr>
          <w:rFonts w:cs="Arial"/>
        </w:rPr>
      </w:pPr>
      <w:r w:rsidRPr="0006034D">
        <w:rPr>
          <w:rFonts w:cs="Arial"/>
        </w:rPr>
        <w:t>V. Los puntos resolutivos que decreten el sobreseimiento, o declaren la validez o invalidez de las normas generales o actos impugnados, y en su caso la absolución o condena respectivas, fijando el término para el cumplimiento de las actuaciones que se señalen;</w:t>
      </w:r>
    </w:p>
    <w:p w:rsidR="00767FCE" w:rsidRPr="0006034D" w:rsidRDefault="00767FCE" w:rsidP="0006034D">
      <w:pPr>
        <w:pStyle w:val="Textonotapie"/>
        <w:spacing w:line="240" w:lineRule="auto"/>
        <w:ind w:firstLine="0"/>
        <w:rPr>
          <w:rFonts w:cs="Arial"/>
        </w:rPr>
      </w:pPr>
      <w:r w:rsidRPr="0006034D">
        <w:rPr>
          <w:rFonts w:cs="Arial"/>
        </w:rPr>
        <w:t>VI. En su caso, el término en el que la parte condenada deba realizar una actuación”.</w:t>
      </w:r>
    </w:p>
    <w:p w:rsidR="00767FCE" w:rsidRPr="0006034D" w:rsidRDefault="00767FCE" w:rsidP="0006034D">
      <w:pPr>
        <w:pStyle w:val="Textonotapie"/>
        <w:spacing w:line="240" w:lineRule="auto"/>
        <w:ind w:firstLine="0"/>
        <w:rPr>
          <w:rFonts w:cs="Arial"/>
        </w:rPr>
      </w:pPr>
      <w:r w:rsidRPr="0006034D">
        <w:rPr>
          <w:rFonts w:cs="Arial"/>
        </w:rPr>
        <w:t>“Artículo 43. Las razones contenidas en los considerandos que funden los resolutivos de las sentencias aprobadas por cuando menos ocho votos, serán obligatorias para las Salas, Plenos de Circuito, tribunales unitarios y colegiados de circuito, juzgados de distrito, tribunales militares, agrarios y judiciales del orden común de los Estados y del Distrito Federal, y administrativos y del trabajo, sean éstos federales o locales”.</w:t>
      </w:r>
    </w:p>
    <w:p w:rsidR="00767FCE" w:rsidRPr="0006034D" w:rsidRDefault="00767FCE" w:rsidP="0006034D">
      <w:pPr>
        <w:pStyle w:val="Textonotapie"/>
        <w:spacing w:line="240" w:lineRule="auto"/>
        <w:ind w:firstLine="0"/>
        <w:rPr>
          <w:rFonts w:cs="Arial"/>
        </w:rPr>
      </w:pPr>
      <w:r w:rsidRPr="0006034D">
        <w:rPr>
          <w:rFonts w:cs="Arial"/>
        </w:rPr>
        <w:t>“Artículo 44. Dictada la sentencia, el Presidente de la Suprema Corte de Justicia de la Nación ordenará notificarla a las partes, y mandará publicarla de manera íntegra en el Semanario Judicial de la Federación, conjuntamente con los votos particulares que se formulen.</w:t>
      </w:r>
    </w:p>
    <w:p w:rsidR="00767FCE" w:rsidRPr="0006034D" w:rsidRDefault="00767FCE" w:rsidP="0006034D">
      <w:pPr>
        <w:pStyle w:val="Textonotapie"/>
        <w:spacing w:line="240" w:lineRule="auto"/>
        <w:ind w:firstLine="0"/>
        <w:rPr>
          <w:rFonts w:cs="Arial"/>
        </w:rPr>
      </w:pPr>
      <w:r w:rsidRPr="0006034D">
        <w:rPr>
          <w:rFonts w:cs="Arial"/>
        </w:rPr>
        <w:t>Cuando en la sentencia se declare la invalidez de normas generales, el Presidente de la Suprema Corte de Justicia de la Nación ordenará, además, su inserción en el Diario Oficial de la Federación y en el órgano oficial en que tales normas se hubieren publicado”.</w:t>
      </w:r>
    </w:p>
    <w:p w:rsidR="00767FCE" w:rsidRPr="0006034D" w:rsidRDefault="00767FCE" w:rsidP="0006034D">
      <w:pPr>
        <w:pStyle w:val="Textonotapie"/>
        <w:spacing w:line="240" w:lineRule="auto"/>
        <w:ind w:firstLine="0"/>
        <w:rPr>
          <w:rFonts w:cs="Arial"/>
        </w:rPr>
      </w:pPr>
      <w:r w:rsidRPr="0006034D">
        <w:rPr>
          <w:rFonts w:cs="Arial"/>
        </w:rPr>
        <w:t>“Artículo 45. Las sentencias producirán sus efectos a partir de la fecha que determine la Suprema Corte de Justicia de la Nación.</w:t>
      </w:r>
    </w:p>
    <w:p w:rsidR="00767FCE" w:rsidRPr="0006034D" w:rsidRDefault="00767FCE" w:rsidP="0006034D">
      <w:pPr>
        <w:pStyle w:val="Textonotapie"/>
        <w:spacing w:line="240" w:lineRule="auto"/>
        <w:ind w:firstLine="0"/>
        <w:rPr>
          <w:rFonts w:cs="Arial"/>
        </w:rPr>
      </w:pPr>
      <w:r w:rsidRPr="0006034D">
        <w:rPr>
          <w:rFonts w:cs="Arial"/>
        </w:rPr>
        <w:t>La declaración de invalidez de las sentencias no tendrá efectos retroactivos, salvo en materia penal, en la que regirán los principios generales y disposiciones legales aplicables de esta materia”.</w:t>
      </w:r>
    </w:p>
    <w:p w:rsidR="00767FCE" w:rsidRPr="0006034D" w:rsidRDefault="00767FCE" w:rsidP="0006034D">
      <w:pPr>
        <w:pStyle w:val="Textonotapie"/>
        <w:spacing w:line="240" w:lineRule="auto"/>
        <w:ind w:firstLine="0"/>
        <w:rPr>
          <w:rFonts w:cs="Arial"/>
          <w:lang w:val="es-ES"/>
        </w:rPr>
      </w:pPr>
      <w:r w:rsidRPr="0006034D">
        <w:rPr>
          <w:rFonts w:cs="Arial"/>
        </w:rPr>
        <w:t>“Artículo 73. Las sentencias se regirán por lo dispuesto en los artículos 41, 43, 44 y 45 de esta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FCE" w:rsidRDefault="00767FCE" w:rsidP="00D017A0">
    <w:pPr>
      <w:pStyle w:val="Encabezado"/>
      <w:tabs>
        <w:tab w:val="clear" w:pos="8838"/>
        <w:tab w:val="right" w:pos="4536"/>
      </w:tabs>
      <w:ind w:right="4302"/>
      <w:rPr>
        <w:rFonts w:cs="Arial"/>
        <w:b/>
        <w:bCs/>
        <w:caps/>
        <w:lang w:val="es-ES_tradnl"/>
      </w:rPr>
    </w:pPr>
  </w:p>
  <w:p w:rsidR="00767FCE" w:rsidRPr="00FA77A9" w:rsidRDefault="00767FCE" w:rsidP="00FA77A9">
    <w:pPr>
      <w:pStyle w:val="Encabezado"/>
      <w:tabs>
        <w:tab w:val="right" w:pos="4536"/>
      </w:tabs>
      <w:ind w:right="4302"/>
      <w:rPr>
        <w:rFonts w:cs="Arial"/>
        <w:b/>
        <w:bCs/>
        <w:caps/>
        <w:lang w:val="es-ES_tradnl"/>
      </w:rPr>
    </w:pPr>
  </w:p>
  <w:p w:rsidR="00767FCE" w:rsidRPr="00FA77A9" w:rsidRDefault="00767FCE" w:rsidP="007E485C">
    <w:pPr>
      <w:pStyle w:val="Encabezado"/>
      <w:tabs>
        <w:tab w:val="right" w:pos="4536"/>
      </w:tabs>
      <w:ind w:right="4302"/>
      <w:jc w:val="center"/>
      <w:rPr>
        <w:rFonts w:cs="Arial"/>
        <w:b/>
        <w:bCs/>
        <w:caps/>
        <w:lang w:val="es-ES_tradnl"/>
      </w:rPr>
    </w:pPr>
    <w:r>
      <w:rPr>
        <w:rFonts w:cs="Arial"/>
        <w:b/>
        <w:bCs/>
        <w:caps/>
        <w:lang w:val="es-ES_tradnl"/>
      </w:rPr>
      <w:t xml:space="preserve"> </w:t>
    </w:r>
  </w:p>
  <w:p w:rsidR="00767FCE" w:rsidRDefault="00767FCE" w:rsidP="00460061">
    <w:pPr>
      <w:pStyle w:val="Encabezado"/>
      <w:tabs>
        <w:tab w:val="clear" w:pos="4419"/>
        <w:tab w:val="clear" w:pos="8838"/>
        <w:tab w:val="center" w:pos="142"/>
      </w:tabs>
      <w:ind w:left="4253" w:right="49"/>
      <w:rPr>
        <w:rFonts w:cs="Arial"/>
        <w:b/>
        <w:bCs/>
        <w:caps/>
        <w:lang w:val="es-ES_tradnl"/>
      </w:rPr>
    </w:pPr>
    <w:r w:rsidRPr="00FA77A9">
      <w:rPr>
        <w:rFonts w:cs="Arial"/>
        <w:b/>
        <w:bCs/>
        <w:caps/>
        <w:lang w:val="es-ES_tradnl"/>
      </w:rPr>
      <w:t>ACCIÓN DE INCONSTITUCIONALIDAD 76/2016 Y SUS ACUMULADAS 79/2016, 80/2016 Y 81/2016</w:t>
    </w:r>
  </w:p>
  <w:p w:rsidR="00767FCE" w:rsidRDefault="00767FCE" w:rsidP="00FA77A9">
    <w:pPr>
      <w:pStyle w:val="Encabezado"/>
      <w:tabs>
        <w:tab w:val="clear" w:pos="8838"/>
        <w:tab w:val="right" w:pos="4536"/>
      </w:tabs>
      <w:ind w:right="4302"/>
      <w:rPr>
        <w:rFonts w:cs="Arial"/>
        <w:b/>
        <w:bCs/>
        <w:caps/>
        <w:lang w:val="es-ES_tradnl"/>
      </w:rPr>
    </w:pPr>
  </w:p>
  <w:p w:rsidR="00767FCE" w:rsidRDefault="00767FCE"/>
  <w:p w:rsidR="00767FCE" w:rsidRDefault="00767FCE"/>
  <w:p w:rsidR="00767FCE" w:rsidRDefault="00767F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FCE" w:rsidRPr="007A07B4" w:rsidRDefault="00767FCE" w:rsidP="007A07B4">
    <w:pPr>
      <w:pStyle w:val="Encabezado"/>
      <w:tabs>
        <w:tab w:val="clear" w:pos="4419"/>
        <w:tab w:val="clear" w:pos="8838"/>
        <w:tab w:val="center" w:pos="8789"/>
      </w:tabs>
      <w:ind w:left="2835" w:right="49" w:firstLine="0"/>
      <w:rPr>
        <w:rFonts w:cs="Arial"/>
        <w:b/>
        <w:bCs/>
        <w:caps/>
        <w:sz w:val="24"/>
        <w:lang w:val="es-ES_tradnl"/>
      </w:rPr>
    </w:pPr>
    <w:r w:rsidRPr="00384192">
      <w:rPr>
        <w:rFonts w:cs="Arial"/>
        <w:b/>
        <w:bCs/>
        <w:caps/>
        <w:sz w:val="24"/>
        <w:lang w:val="es-ES_tradnl"/>
      </w:rPr>
      <w:t>ACCIÓN DE INCONSTITUCIONALIDAD 135/2020 y su acu</w:t>
    </w:r>
    <w:r w:rsidR="007A07B4">
      <w:rPr>
        <w:rFonts w:cs="Arial"/>
        <w:b/>
        <w:bCs/>
        <w:caps/>
        <w:sz w:val="24"/>
        <w:lang w:val="es-ES_tradnl"/>
      </w:rPr>
      <w:t>mulada 138/2020</w:t>
    </w:r>
  </w:p>
  <w:p w:rsidR="00767FCE" w:rsidRDefault="00767FCE"/>
  <w:p w:rsidR="00767FCE" w:rsidRDefault="00767FCE"/>
  <w:p w:rsidR="00767FCE" w:rsidRDefault="00767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2C0BD1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2ACB7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CB66B5"/>
    <w:multiLevelType w:val="hybridMultilevel"/>
    <w:tmpl w:val="2820C5B8"/>
    <w:lvl w:ilvl="0" w:tplc="080A0017">
      <w:start w:val="1"/>
      <w:numFmt w:val="lowerLetter"/>
      <w:lvlText w:val="%1)"/>
      <w:lvlJc w:val="left"/>
      <w:pPr>
        <w:ind w:left="4755" w:hanging="360"/>
      </w:pPr>
    </w:lvl>
    <w:lvl w:ilvl="1" w:tplc="080A0019">
      <w:start w:val="1"/>
      <w:numFmt w:val="lowerLetter"/>
      <w:lvlText w:val="%2."/>
      <w:lvlJc w:val="left"/>
      <w:pPr>
        <w:ind w:left="5475" w:hanging="360"/>
      </w:pPr>
    </w:lvl>
    <w:lvl w:ilvl="2" w:tplc="080A001B">
      <w:start w:val="1"/>
      <w:numFmt w:val="lowerRoman"/>
      <w:lvlText w:val="%3."/>
      <w:lvlJc w:val="right"/>
      <w:pPr>
        <w:ind w:left="6195" w:hanging="180"/>
      </w:pPr>
    </w:lvl>
    <w:lvl w:ilvl="3" w:tplc="080A000F">
      <w:start w:val="1"/>
      <w:numFmt w:val="decimal"/>
      <w:lvlText w:val="%4."/>
      <w:lvlJc w:val="left"/>
      <w:pPr>
        <w:ind w:left="6915" w:hanging="360"/>
      </w:pPr>
    </w:lvl>
    <w:lvl w:ilvl="4" w:tplc="080A0019">
      <w:start w:val="1"/>
      <w:numFmt w:val="lowerLetter"/>
      <w:lvlText w:val="%5."/>
      <w:lvlJc w:val="left"/>
      <w:pPr>
        <w:ind w:left="7635" w:hanging="360"/>
      </w:pPr>
    </w:lvl>
    <w:lvl w:ilvl="5" w:tplc="080A001B">
      <w:start w:val="1"/>
      <w:numFmt w:val="lowerRoman"/>
      <w:lvlText w:val="%6."/>
      <w:lvlJc w:val="right"/>
      <w:pPr>
        <w:ind w:left="8355" w:hanging="180"/>
      </w:pPr>
    </w:lvl>
    <w:lvl w:ilvl="6" w:tplc="080A000F">
      <w:start w:val="1"/>
      <w:numFmt w:val="decimal"/>
      <w:lvlText w:val="%7."/>
      <w:lvlJc w:val="left"/>
      <w:pPr>
        <w:ind w:left="9075" w:hanging="360"/>
      </w:pPr>
    </w:lvl>
    <w:lvl w:ilvl="7" w:tplc="080A0019">
      <w:start w:val="1"/>
      <w:numFmt w:val="lowerLetter"/>
      <w:lvlText w:val="%8."/>
      <w:lvlJc w:val="left"/>
      <w:pPr>
        <w:ind w:left="9795" w:hanging="360"/>
      </w:pPr>
    </w:lvl>
    <w:lvl w:ilvl="8" w:tplc="080A001B">
      <w:start w:val="1"/>
      <w:numFmt w:val="lowerRoman"/>
      <w:lvlText w:val="%9."/>
      <w:lvlJc w:val="right"/>
      <w:pPr>
        <w:ind w:left="10515" w:hanging="180"/>
      </w:pPr>
    </w:lvl>
  </w:abstractNum>
  <w:abstractNum w:abstractNumId="3" w15:restartNumberingAfterBreak="0">
    <w:nsid w:val="02A5299F"/>
    <w:multiLevelType w:val="hybridMultilevel"/>
    <w:tmpl w:val="B86EE42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2E66799"/>
    <w:multiLevelType w:val="hybridMultilevel"/>
    <w:tmpl w:val="882C956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6A24A1"/>
    <w:multiLevelType w:val="hybridMultilevel"/>
    <w:tmpl w:val="2A78B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AA5A23"/>
    <w:multiLevelType w:val="hybridMultilevel"/>
    <w:tmpl w:val="5DB8DBAA"/>
    <w:lvl w:ilvl="0" w:tplc="9C502D50">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0B0E4B33"/>
    <w:multiLevelType w:val="hybridMultilevel"/>
    <w:tmpl w:val="3CEA6D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0C25100F"/>
    <w:multiLevelType w:val="hybridMultilevel"/>
    <w:tmpl w:val="96D4EA12"/>
    <w:lvl w:ilvl="0" w:tplc="57EEB256">
      <w:start w:val="1"/>
      <w:numFmt w:val="lowerLetter"/>
      <w:lvlText w:val="%1)"/>
      <w:lvlJc w:val="left"/>
      <w:pPr>
        <w:ind w:left="720" w:hanging="360"/>
      </w:pPr>
      <w:rPr>
        <w:rFonts w:hint="default"/>
        <w:b/>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F5903"/>
    <w:multiLevelType w:val="hybridMultilevel"/>
    <w:tmpl w:val="B12442D2"/>
    <w:lvl w:ilvl="0" w:tplc="0F546C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4F4938"/>
    <w:multiLevelType w:val="hybridMultilevel"/>
    <w:tmpl w:val="50A8BE0E"/>
    <w:lvl w:ilvl="0" w:tplc="842E72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EF60AB"/>
    <w:multiLevelType w:val="hybridMultilevel"/>
    <w:tmpl w:val="21B21C9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1D894D5F"/>
    <w:multiLevelType w:val="hybridMultilevel"/>
    <w:tmpl w:val="5F6C34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860533"/>
    <w:multiLevelType w:val="hybridMultilevel"/>
    <w:tmpl w:val="13E491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AE7DB0"/>
    <w:multiLevelType w:val="hybridMultilevel"/>
    <w:tmpl w:val="89DC6076"/>
    <w:lvl w:ilvl="0" w:tplc="080A001B">
      <w:start w:val="1"/>
      <w:numFmt w:val="lowerRoman"/>
      <w:lvlText w:val="%1."/>
      <w:lvlJc w:val="righ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5" w15:restartNumberingAfterBreak="0">
    <w:nsid w:val="240504F8"/>
    <w:multiLevelType w:val="hybridMultilevel"/>
    <w:tmpl w:val="9D427D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3B0CB1"/>
    <w:multiLevelType w:val="hybridMultilevel"/>
    <w:tmpl w:val="820A1CEC"/>
    <w:lvl w:ilvl="0" w:tplc="080A000F">
      <w:start w:val="1"/>
      <w:numFmt w:val="decimal"/>
      <w:lvlText w:val="%1."/>
      <w:lvlJc w:val="left"/>
      <w:pPr>
        <w:ind w:left="1438" w:hanging="360"/>
      </w:pPr>
    </w:lvl>
    <w:lvl w:ilvl="1" w:tplc="080A0019" w:tentative="1">
      <w:start w:val="1"/>
      <w:numFmt w:val="lowerLetter"/>
      <w:lvlText w:val="%2."/>
      <w:lvlJc w:val="left"/>
      <w:pPr>
        <w:ind w:left="2158" w:hanging="360"/>
      </w:pPr>
    </w:lvl>
    <w:lvl w:ilvl="2" w:tplc="080A001B" w:tentative="1">
      <w:start w:val="1"/>
      <w:numFmt w:val="lowerRoman"/>
      <w:lvlText w:val="%3."/>
      <w:lvlJc w:val="right"/>
      <w:pPr>
        <w:ind w:left="2878" w:hanging="180"/>
      </w:pPr>
    </w:lvl>
    <w:lvl w:ilvl="3" w:tplc="080A000F" w:tentative="1">
      <w:start w:val="1"/>
      <w:numFmt w:val="decimal"/>
      <w:lvlText w:val="%4."/>
      <w:lvlJc w:val="left"/>
      <w:pPr>
        <w:ind w:left="3598" w:hanging="360"/>
      </w:pPr>
    </w:lvl>
    <w:lvl w:ilvl="4" w:tplc="080A0019" w:tentative="1">
      <w:start w:val="1"/>
      <w:numFmt w:val="lowerLetter"/>
      <w:lvlText w:val="%5."/>
      <w:lvlJc w:val="left"/>
      <w:pPr>
        <w:ind w:left="4318" w:hanging="360"/>
      </w:pPr>
    </w:lvl>
    <w:lvl w:ilvl="5" w:tplc="080A001B" w:tentative="1">
      <w:start w:val="1"/>
      <w:numFmt w:val="lowerRoman"/>
      <w:lvlText w:val="%6."/>
      <w:lvlJc w:val="right"/>
      <w:pPr>
        <w:ind w:left="5038" w:hanging="180"/>
      </w:pPr>
    </w:lvl>
    <w:lvl w:ilvl="6" w:tplc="080A000F" w:tentative="1">
      <w:start w:val="1"/>
      <w:numFmt w:val="decimal"/>
      <w:lvlText w:val="%7."/>
      <w:lvlJc w:val="left"/>
      <w:pPr>
        <w:ind w:left="5758" w:hanging="360"/>
      </w:pPr>
    </w:lvl>
    <w:lvl w:ilvl="7" w:tplc="080A0019" w:tentative="1">
      <w:start w:val="1"/>
      <w:numFmt w:val="lowerLetter"/>
      <w:lvlText w:val="%8."/>
      <w:lvlJc w:val="left"/>
      <w:pPr>
        <w:ind w:left="6478" w:hanging="360"/>
      </w:pPr>
    </w:lvl>
    <w:lvl w:ilvl="8" w:tplc="080A001B" w:tentative="1">
      <w:start w:val="1"/>
      <w:numFmt w:val="lowerRoman"/>
      <w:lvlText w:val="%9."/>
      <w:lvlJc w:val="right"/>
      <w:pPr>
        <w:ind w:left="7198" w:hanging="180"/>
      </w:pPr>
    </w:lvl>
  </w:abstractNum>
  <w:abstractNum w:abstractNumId="17" w15:restartNumberingAfterBreak="0">
    <w:nsid w:val="29D21C36"/>
    <w:multiLevelType w:val="hybridMultilevel"/>
    <w:tmpl w:val="DE608DB2"/>
    <w:lvl w:ilvl="0" w:tplc="7D164B7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73151E"/>
    <w:multiLevelType w:val="hybridMultilevel"/>
    <w:tmpl w:val="AAC28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1F3048"/>
    <w:multiLevelType w:val="hybridMultilevel"/>
    <w:tmpl w:val="A5B6AD6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569302B"/>
    <w:multiLevelType w:val="hybridMultilevel"/>
    <w:tmpl w:val="37B69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5F1E54"/>
    <w:multiLevelType w:val="hybridMultilevel"/>
    <w:tmpl w:val="65DE67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F47896"/>
    <w:multiLevelType w:val="hybridMultilevel"/>
    <w:tmpl w:val="D902AF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062CA9"/>
    <w:multiLevelType w:val="hybridMultilevel"/>
    <w:tmpl w:val="41C22BC0"/>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8E92E128">
      <w:start w:val="1"/>
      <w:numFmt w:val="decimal"/>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9F32926"/>
    <w:multiLevelType w:val="hybridMultilevel"/>
    <w:tmpl w:val="067C1E84"/>
    <w:lvl w:ilvl="0" w:tplc="6398587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1DD4088"/>
    <w:multiLevelType w:val="hybridMultilevel"/>
    <w:tmpl w:val="23B2DA6A"/>
    <w:lvl w:ilvl="0" w:tplc="B9520AF8">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362167E"/>
    <w:multiLevelType w:val="hybridMultilevel"/>
    <w:tmpl w:val="18CA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690C4B"/>
    <w:multiLevelType w:val="hybridMultilevel"/>
    <w:tmpl w:val="AB1A85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4E50C2C"/>
    <w:multiLevelType w:val="hybridMultilevel"/>
    <w:tmpl w:val="17AC6D9A"/>
    <w:lvl w:ilvl="0" w:tplc="CDD041A8">
      <w:start w:val="1"/>
      <w:numFmt w:val="lowerLetter"/>
      <w:lvlText w:val="%1)"/>
      <w:lvlJc w:val="left"/>
      <w:pPr>
        <w:ind w:left="2119" w:hanging="141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8311E9C"/>
    <w:multiLevelType w:val="hybridMultilevel"/>
    <w:tmpl w:val="E39207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2207A5"/>
    <w:multiLevelType w:val="hybridMultilevel"/>
    <w:tmpl w:val="D80610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BD433F"/>
    <w:multiLevelType w:val="hybridMultilevel"/>
    <w:tmpl w:val="C01EB2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8D3C3E"/>
    <w:multiLevelType w:val="hybridMultilevel"/>
    <w:tmpl w:val="130C0350"/>
    <w:lvl w:ilvl="0" w:tplc="7416F0FC">
      <w:start w:val="1"/>
      <w:numFmt w:val="decimal"/>
      <w:lvlText w:val="%1."/>
      <w:lvlJc w:val="left"/>
      <w:pPr>
        <w:ind w:left="360" w:hanging="360"/>
      </w:pPr>
      <w:rPr>
        <w:rFonts w:ascii="Arial" w:hAnsi="Arial" w:cs="Arial" w:hint="default"/>
        <w:b/>
        <w:i w:val="0"/>
        <w:sz w:val="28"/>
        <w:szCs w:val="28"/>
      </w:r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B63BA8"/>
    <w:multiLevelType w:val="hybridMultilevel"/>
    <w:tmpl w:val="18ACBC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212B5"/>
    <w:multiLevelType w:val="hybridMultilevel"/>
    <w:tmpl w:val="DFB4861C"/>
    <w:lvl w:ilvl="0" w:tplc="807A684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C87C9A"/>
    <w:multiLevelType w:val="hybridMultilevel"/>
    <w:tmpl w:val="ECF2862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15:restartNumberingAfterBreak="0">
    <w:nsid w:val="71923483"/>
    <w:multiLevelType w:val="hybridMultilevel"/>
    <w:tmpl w:val="388E0C0C"/>
    <w:lvl w:ilvl="0" w:tplc="A85E8830">
      <w:start w:val="1"/>
      <w:numFmt w:val="lowerLetter"/>
      <w:lvlText w:val="%1)"/>
      <w:lvlJc w:val="left"/>
      <w:pPr>
        <w:ind w:left="814" w:hanging="36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37" w15:restartNumberingAfterBreak="0">
    <w:nsid w:val="722970DD"/>
    <w:multiLevelType w:val="hybridMultilevel"/>
    <w:tmpl w:val="0B2288F6"/>
    <w:lvl w:ilvl="0" w:tplc="CD28F048">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F384F11"/>
    <w:multiLevelType w:val="hybridMultilevel"/>
    <w:tmpl w:val="0B2288F6"/>
    <w:lvl w:ilvl="0" w:tplc="CD28F048">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18"/>
  </w:num>
  <w:num w:numId="6">
    <w:abstractNumId w:val="13"/>
  </w:num>
  <w:num w:numId="7">
    <w:abstractNumId w:val="8"/>
  </w:num>
  <w:num w:numId="8">
    <w:abstractNumId w:val="20"/>
  </w:num>
  <w:num w:numId="9">
    <w:abstractNumId w:val="35"/>
  </w:num>
  <w:num w:numId="10">
    <w:abstractNumId w:val="31"/>
  </w:num>
  <w:num w:numId="11">
    <w:abstractNumId w:val="25"/>
  </w:num>
  <w:num w:numId="12">
    <w:abstractNumId w:val="38"/>
  </w:num>
  <w:num w:numId="13">
    <w:abstractNumId w:val="26"/>
  </w:num>
  <w:num w:numId="14">
    <w:abstractNumId w:val="5"/>
  </w:num>
  <w:num w:numId="15">
    <w:abstractNumId w:val="37"/>
  </w:num>
  <w:num w:numId="16">
    <w:abstractNumId w:val="28"/>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33"/>
  </w:num>
  <w:num w:numId="28">
    <w:abstractNumId w:val="30"/>
  </w:num>
  <w:num w:numId="29">
    <w:abstractNumId w:val="36"/>
  </w:num>
  <w:num w:numId="30">
    <w:abstractNumId w:val="29"/>
  </w:num>
  <w:num w:numId="31">
    <w:abstractNumId w:val="21"/>
  </w:num>
  <w:num w:numId="32">
    <w:abstractNumId w:val="15"/>
  </w:num>
  <w:num w:numId="33">
    <w:abstractNumId w:val="9"/>
  </w:num>
  <w:num w:numId="34">
    <w:abstractNumId w:val="11"/>
  </w:num>
  <w:num w:numId="35">
    <w:abstractNumId w:val="32"/>
  </w:num>
  <w:num w:numId="36">
    <w:abstractNumId w:val="17"/>
  </w:num>
  <w:num w:numId="37">
    <w:abstractNumId w:val="2"/>
  </w:num>
  <w:num w:numId="38">
    <w:abstractNumId w:val="3"/>
  </w:num>
  <w:num w:numId="39">
    <w:abstractNumId w:val="7"/>
  </w:num>
  <w:num w:numId="40">
    <w:abstractNumId w:val="10"/>
  </w:num>
  <w:num w:numId="41">
    <w:abstractNumId w:val="24"/>
  </w:num>
  <w:num w:numId="42">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A0"/>
    <w:rsid w:val="0000055A"/>
    <w:rsid w:val="000017A0"/>
    <w:rsid w:val="0000271C"/>
    <w:rsid w:val="00002826"/>
    <w:rsid w:val="00002888"/>
    <w:rsid w:val="00002DAF"/>
    <w:rsid w:val="00004580"/>
    <w:rsid w:val="00004C25"/>
    <w:rsid w:val="00005C9D"/>
    <w:rsid w:val="00006195"/>
    <w:rsid w:val="000067E5"/>
    <w:rsid w:val="00007529"/>
    <w:rsid w:val="0001044C"/>
    <w:rsid w:val="000115AF"/>
    <w:rsid w:val="00011CB2"/>
    <w:rsid w:val="00013FCB"/>
    <w:rsid w:val="00014126"/>
    <w:rsid w:val="000145CE"/>
    <w:rsid w:val="00014AC8"/>
    <w:rsid w:val="00014D61"/>
    <w:rsid w:val="000156DC"/>
    <w:rsid w:val="000163CF"/>
    <w:rsid w:val="00016639"/>
    <w:rsid w:val="0001668E"/>
    <w:rsid w:val="000168E6"/>
    <w:rsid w:val="00016E87"/>
    <w:rsid w:val="00017C15"/>
    <w:rsid w:val="00021DFF"/>
    <w:rsid w:val="0002293E"/>
    <w:rsid w:val="00023F00"/>
    <w:rsid w:val="000254A8"/>
    <w:rsid w:val="000266E4"/>
    <w:rsid w:val="00026E03"/>
    <w:rsid w:val="000301E4"/>
    <w:rsid w:val="000302C4"/>
    <w:rsid w:val="00030E0B"/>
    <w:rsid w:val="00031F56"/>
    <w:rsid w:val="00032315"/>
    <w:rsid w:val="000325C2"/>
    <w:rsid w:val="00032680"/>
    <w:rsid w:val="00032747"/>
    <w:rsid w:val="000336BB"/>
    <w:rsid w:val="000337BC"/>
    <w:rsid w:val="00034E3B"/>
    <w:rsid w:val="00035B55"/>
    <w:rsid w:val="00036803"/>
    <w:rsid w:val="00036877"/>
    <w:rsid w:val="000374F7"/>
    <w:rsid w:val="0004320A"/>
    <w:rsid w:val="00044A24"/>
    <w:rsid w:val="000450DB"/>
    <w:rsid w:val="00045FE1"/>
    <w:rsid w:val="00052968"/>
    <w:rsid w:val="0005578A"/>
    <w:rsid w:val="00056604"/>
    <w:rsid w:val="00056E5C"/>
    <w:rsid w:val="00057F12"/>
    <w:rsid w:val="0006034D"/>
    <w:rsid w:val="0006136D"/>
    <w:rsid w:val="000633A0"/>
    <w:rsid w:val="00065341"/>
    <w:rsid w:val="000668DF"/>
    <w:rsid w:val="000670E4"/>
    <w:rsid w:val="00070347"/>
    <w:rsid w:val="00070BAF"/>
    <w:rsid w:val="00070C34"/>
    <w:rsid w:val="00072BD8"/>
    <w:rsid w:val="00073556"/>
    <w:rsid w:val="000739E6"/>
    <w:rsid w:val="000750DA"/>
    <w:rsid w:val="000760AB"/>
    <w:rsid w:val="0007618B"/>
    <w:rsid w:val="00076244"/>
    <w:rsid w:val="000763FD"/>
    <w:rsid w:val="00077BDF"/>
    <w:rsid w:val="00077FCB"/>
    <w:rsid w:val="00080628"/>
    <w:rsid w:val="00080E64"/>
    <w:rsid w:val="0008126C"/>
    <w:rsid w:val="00082D4E"/>
    <w:rsid w:val="000859C6"/>
    <w:rsid w:val="000878EA"/>
    <w:rsid w:val="000917F9"/>
    <w:rsid w:val="00092815"/>
    <w:rsid w:val="00092D15"/>
    <w:rsid w:val="00095BF0"/>
    <w:rsid w:val="00097E2E"/>
    <w:rsid w:val="000A0ECD"/>
    <w:rsid w:val="000A1AF0"/>
    <w:rsid w:val="000A1C69"/>
    <w:rsid w:val="000A4D91"/>
    <w:rsid w:val="000A54F7"/>
    <w:rsid w:val="000A568F"/>
    <w:rsid w:val="000B0642"/>
    <w:rsid w:val="000B0815"/>
    <w:rsid w:val="000B11F7"/>
    <w:rsid w:val="000B1C0C"/>
    <w:rsid w:val="000B2D27"/>
    <w:rsid w:val="000B3F59"/>
    <w:rsid w:val="000B4147"/>
    <w:rsid w:val="000B43AB"/>
    <w:rsid w:val="000B4428"/>
    <w:rsid w:val="000B5F86"/>
    <w:rsid w:val="000B691C"/>
    <w:rsid w:val="000C2C18"/>
    <w:rsid w:val="000C5753"/>
    <w:rsid w:val="000C7398"/>
    <w:rsid w:val="000C73E7"/>
    <w:rsid w:val="000C7441"/>
    <w:rsid w:val="000C7886"/>
    <w:rsid w:val="000D0234"/>
    <w:rsid w:val="000D064A"/>
    <w:rsid w:val="000D073E"/>
    <w:rsid w:val="000D19C6"/>
    <w:rsid w:val="000D2B92"/>
    <w:rsid w:val="000D2D73"/>
    <w:rsid w:val="000D3B7E"/>
    <w:rsid w:val="000D45BE"/>
    <w:rsid w:val="000D4BB6"/>
    <w:rsid w:val="000D4C34"/>
    <w:rsid w:val="000D7BF4"/>
    <w:rsid w:val="000E0FE9"/>
    <w:rsid w:val="000E1E31"/>
    <w:rsid w:val="000E3B80"/>
    <w:rsid w:val="000E3E67"/>
    <w:rsid w:val="000E5667"/>
    <w:rsid w:val="000E5895"/>
    <w:rsid w:val="000E713B"/>
    <w:rsid w:val="000F0374"/>
    <w:rsid w:val="000F10DE"/>
    <w:rsid w:val="000F1BCE"/>
    <w:rsid w:val="000F216C"/>
    <w:rsid w:val="000F2FFE"/>
    <w:rsid w:val="000F30FA"/>
    <w:rsid w:val="000F45B2"/>
    <w:rsid w:val="000F4726"/>
    <w:rsid w:val="000F4C9F"/>
    <w:rsid w:val="000F4F6B"/>
    <w:rsid w:val="000F539A"/>
    <w:rsid w:val="000F628E"/>
    <w:rsid w:val="000F682B"/>
    <w:rsid w:val="000F68AC"/>
    <w:rsid w:val="000F6B44"/>
    <w:rsid w:val="001005A0"/>
    <w:rsid w:val="00101204"/>
    <w:rsid w:val="00101ADF"/>
    <w:rsid w:val="00102722"/>
    <w:rsid w:val="00105869"/>
    <w:rsid w:val="00106038"/>
    <w:rsid w:val="00106C91"/>
    <w:rsid w:val="00107084"/>
    <w:rsid w:val="00110E5F"/>
    <w:rsid w:val="00110F44"/>
    <w:rsid w:val="0011116E"/>
    <w:rsid w:val="00111352"/>
    <w:rsid w:val="001116B8"/>
    <w:rsid w:val="00112921"/>
    <w:rsid w:val="001154B3"/>
    <w:rsid w:val="0011555F"/>
    <w:rsid w:val="00115F0D"/>
    <w:rsid w:val="00115F38"/>
    <w:rsid w:val="00116270"/>
    <w:rsid w:val="00117FF9"/>
    <w:rsid w:val="001211DD"/>
    <w:rsid w:val="00121318"/>
    <w:rsid w:val="00123C98"/>
    <w:rsid w:val="001248B3"/>
    <w:rsid w:val="00124A2B"/>
    <w:rsid w:val="00124B17"/>
    <w:rsid w:val="00124BCD"/>
    <w:rsid w:val="0012502F"/>
    <w:rsid w:val="00126D45"/>
    <w:rsid w:val="0013019D"/>
    <w:rsid w:val="00130817"/>
    <w:rsid w:val="00130846"/>
    <w:rsid w:val="0013104C"/>
    <w:rsid w:val="00131AAD"/>
    <w:rsid w:val="001320CC"/>
    <w:rsid w:val="0013261B"/>
    <w:rsid w:val="00132E38"/>
    <w:rsid w:val="00133FA0"/>
    <w:rsid w:val="00133FEB"/>
    <w:rsid w:val="00134795"/>
    <w:rsid w:val="00134DAC"/>
    <w:rsid w:val="00135C47"/>
    <w:rsid w:val="00135CA4"/>
    <w:rsid w:val="00136253"/>
    <w:rsid w:val="00140185"/>
    <w:rsid w:val="00140D21"/>
    <w:rsid w:val="00142DAC"/>
    <w:rsid w:val="00143220"/>
    <w:rsid w:val="00143D16"/>
    <w:rsid w:val="0014687C"/>
    <w:rsid w:val="00147298"/>
    <w:rsid w:val="001472EF"/>
    <w:rsid w:val="0014744B"/>
    <w:rsid w:val="00147989"/>
    <w:rsid w:val="001503BE"/>
    <w:rsid w:val="00151D4B"/>
    <w:rsid w:val="001521DB"/>
    <w:rsid w:val="0015257F"/>
    <w:rsid w:val="00152950"/>
    <w:rsid w:val="00152D45"/>
    <w:rsid w:val="001552AE"/>
    <w:rsid w:val="00156187"/>
    <w:rsid w:val="001574F5"/>
    <w:rsid w:val="0015760A"/>
    <w:rsid w:val="00160DD7"/>
    <w:rsid w:val="0016134B"/>
    <w:rsid w:val="001623E3"/>
    <w:rsid w:val="00162519"/>
    <w:rsid w:val="001626F0"/>
    <w:rsid w:val="00162EC8"/>
    <w:rsid w:val="00162F70"/>
    <w:rsid w:val="001640E4"/>
    <w:rsid w:val="001644DE"/>
    <w:rsid w:val="0016475E"/>
    <w:rsid w:val="00164B8F"/>
    <w:rsid w:val="00165144"/>
    <w:rsid w:val="00165DFC"/>
    <w:rsid w:val="00166DB0"/>
    <w:rsid w:val="00167350"/>
    <w:rsid w:val="001677FD"/>
    <w:rsid w:val="00167BF5"/>
    <w:rsid w:val="00170B95"/>
    <w:rsid w:val="00170E62"/>
    <w:rsid w:val="00171933"/>
    <w:rsid w:val="00172D4F"/>
    <w:rsid w:val="00173390"/>
    <w:rsid w:val="00173EB1"/>
    <w:rsid w:val="00174480"/>
    <w:rsid w:val="001748AB"/>
    <w:rsid w:val="00175A52"/>
    <w:rsid w:val="001806DA"/>
    <w:rsid w:val="00180B2A"/>
    <w:rsid w:val="00181B91"/>
    <w:rsid w:val="00182600"/>
    <w:rsid w:val="001829D0"/>
    <w:rsid w:val="001837A2"/>
    <w:rsid w:val="00183903"/>
    <w:rsid w:val="001854BB"/>
    <w:rsid w:val="00185AB4"/>
    <w:rsid w:val="00185ED1"/>
    <w:rsid w:val="00186A8E"/>
    <w:rsid w:val="00186BE9"/>
    <w:rsid w:val="00186E84"/>
    <w:rsid w:val="001870E2"/>
    <w:rsid w:val="00187267"/>
    <w:rsid w:val="00187FA8"/>
    <w:rsid w:val="00190661"/>
    <w:rsid w:val="00191136"/>
    <w:rsid w:val="00192BCB"/>
    <w:rsid w:val="00192F24"/>
    <w:rsid w:val="001932D4"/>
    <w:rsid w:val="00193331"/>
    <w:rsid w:val="00195BC7"/>
    <w:rsid w:val="00196405"/>
    <w:rsid w:val="00197A86"/>
    <w:rsid w:val="001A0346"/>
    <w:rsid w:val="001A0654"/>
    <w:rsid w:val="001A16A1"/>
    <w:rsid w:val="001A177A"/>
    <w:rsid w:val="001A1C65"/>
    <w:rsid w:val="001A294A"/>
    <w:rsid w:val="001A45AA"/>
    <w:rsid w:val="001A5A31"/>
    <w:rsid w:val="001A5FC1"/>
    <w:rsid w:val="001A69F9"/>
    <w:rsid w:val="001A7E3D"/>
    <w:rsid w:val="001B18C8"/>
    <w:rsid w:val="001B1EC5"/>
    <w:rsid w:val="001B380D"/>
    <w:rsid w:val="001B6D80"/>
    <w:rsid w:val="001B6DFF"/>
    <w:rsid w:val="001B7419"/>
    <w:rsid w:val="001B79CE"/>
    <w:rsid w:val="001C002C"/>
    <w:rsid w:val="001C0D53"/>
    <w:rsid w:val="001C1220"/>
    <w:rsid w:val="001C29E2"/>
    <w:rsid w:val="001C2DA1"/>
    <w:rsid w:val="001C4EB3"/>
    <w:rsid w:val="001C66E5"/>
    <w:rsid w:val="001C7CF6"/>
    <w:rsid w:val="001D090B"/>
    <w:rsid w:val="001D303A"/>
    <w:rsid w:val="001D44F9"/>
    <w:rsid w:val="001D480F"/>
    <w:rsid w:val="001E0F1C"/>
    <w:rsid w:val="001E3A52"/>
    <w:rsid w:val="001E3F5A"/>
    <w:rsid w:val="001E402F"/>
    <w:rsid w:val="001E48C2"/>
    <w:rsid w:val="001E576F"/>
    <w:rsid w:val="001E6D2A"/>
    <w:rsid w:val="001E6D80"/>
    <w:rsid w:val="001E6E26"/>
    <w:rsid w:val="001E793A"/>
    <w:rsid w:val="001F041B"/>
    <w:rsid w:val="001F0CF4"/>
    <w:rsid w:val="001F112D"/>
    <w:rsid w:val="001F127D"/>
    <w:rsid w:val="001F150B"/>
    <w:rsid w:val="001F27D4"/>
    <w:rsid w:val="001F4B57"/>
    <w:rsid w:val="001F4EF6"/>
    <w:rsid w:val="001F567E"/>
    <w:rsid w:val="001F7030"/>
    <w:rsid w:val="001F7F88"/>
    <w:rsid w:val="0020050D"/>
    <w:rsid w:val="002014C4"/>
    <w:rsid w:val="0020211B"/>
    <w:rsid w:val="00203230"/>
    <w:rsid w:val="00203370"/>
    <w:rsid w:val="002058A5"/>
    <w:rsid w:val="00205F23"/>
    <w:rsid w:val="00206783"/>
    <w:rsid w:val="002075F7"/>
    <w:rsid w:val="002078CF"/>
    <w:rsid w:val="00210CDE"/>
    <w:rsid w:val="00211281"/>
    <w:rsid w:val="00211731"/>
    <w:rsid w:val="00212B0E"/>
    <w:rsid w:val="00214D46"/>
    <w:rsid w:val="002157E7"/>
    <w:rsid w:val="00216859"/>
    <w:rsid w:val="00223A84"/>
    <w:rsid w:val="00223CB8"/>
    <w:rsid w:val="00224E23"/>
    <w:rsid w:val="002257F3"/>
    <w:rsid w:val="00225A0A"/>
    <w:rsid w:val="00226297"/>
    <w:rsid w:val="002264BD"/>
    <w:rsid w:val="00227EE4"/>
    <w:rsid w:val="00230031"/>
    <w:rsid w:val="00230C4A"/>
    <w:rsid w:val="0023429E"/>
    <w:rsid w:val="002373DF"/>
    <w:rsid w:val="00237F53"/>
    <w:rsid w:val="0024035F"/>
    <w:rsid w:val="00240DE8"/>
    <w:rsid w:val="00242951"/>
    <w:rsid w:val="00245E0D"/>
    <w:rsid w:val="00251933"/>
    <w:rsid w:val="00252FD0"/>
    <w:rsid w:val="002543F7"/>
    <w:rsid w:val="002548E2"/>
    <w:rsid w:val="00254A6F"/>
    <w:rsid w:val="00255DAA"/>
    <w:rsid w:val="002568D5"/>
    <w:rsid w:val="00257004"/>
    <w:rsid w:val="00260DF9"/>
    <w:rsid w:val="0026306D"/>
    <w:rsid w:val="002642FB"/>
    <w:rsid w:val="0026645E"/>
    <w:rsid w:val="00266957"/>
    <w:rsid w:val="00266C33"/>
    <w:rsid w:val="00267E36"/>
    <w:rsid w:val="00270A20"/>
    <w:rsid w:val="00271572"/>
    <w:rsid w:val="00271F9A"/>
    <w:rsid w:val="002733DF"/>
    <w:rsid w:val="00275EB7"/>
    <w:rsid w:val="00276525"/>
    <w:rsid w:val="00276781"/>
    <w:rsid w:val="00277D1C"/>
    <w:rsid w:val="00277EF7"/>
    <w:rsid w:val="00277F67"/>
    <w:rsid w:val="00280ED4"/>
    <w:rsid w:val="00281CAF"/>
    <w:rsid w:val="002840EE"/>
    <w:rsid w:val="00284F45"/>
    <w:rsid w:val="00285604"/>
    <w:rsid w:val="002859A6"/>
    <w:rsid w:val="00290233"/>
    <w:rsid w:val="002910A5"/>
    <w:rsid w:val="00292B6C"/>
    <w:rsid w:val="00292ED9"/>
    <w:rsid w:val="00293487"/>
    <w:rsid w:val="002969A9"/>
    <w:rsid w:val="00296B3F"/>
    <w:rsid w:val="00296D3D"/>
    <w:rsid w:val="002A0E28"/>
    <w:rsid w:val="002A1245"/>
    <w:rsid w:val="002A14C8"/>
    <w:rsid w:val="002A1E80"/>
    <w:rsid w:val="002A2DCF"/>
    <w:rsid w:val="002A3B69"/>
    <w:rsid w:val="002A4810"/>
    <w:rsid w:val="002A4FB7"/>
    <w:rsid w:val="002A594E"/>
    <w:rsid w:val="002A6D58"/>
    <w:rsid w:val="002B1D88"/>
    <w:rsid w:val="002B38C7"/>
    <w:rsid w:val="002B600D"/>
    <w:rsid w:val="002B6F20"/>
    <w:rsid w:val="002C15F1"/>
    <w:rsid w:val="002C2976"/>
    <w:rsid w:val="002C3275"/>
    <w:rsid w:val="002C36DD"/>
    <w:rsid w:val="002C4A94"/>
    <w:rsid w:val="002C6272"/>
    <w:rsid w:val="002C7A07"/>
    <w:rsid w:val="002D148F"/>
    <w:rsid w:val="002D1F16"/>
    <w:rsid w:val="002D35FC"/>
    <w:rsid w:val="002D474F"/>
    <w:rsid w:val="002D49D2"/>
    <w:rsid w:val="002D6FCF"/>
    <w:rsid w:val="002D786C"/>
    <w:rsid w:val="002E0494"/>
    <w:rsid w:val="002E18A1"/>
    <w:rsid w:val="002E267E"/>
    <w:rsid w:val="002E283D"/>
    <w:rsid w:val="002E2DB8"/>
    <w:rsid w:val="002E35C3"/>
    <w:rsid w:val="002E6D29"/>
    <w:rsid w:val="002F0C09"/>
    <w:rsid w:val="002F10F6"/>
    <w:rsid w:val="002F2137"/>
    <w:rsid w:val="002F2866"/>
    <w:rsid w:val="002F29B0"/>
    <w:rsid w:val="002F2E52"/>
    <w:rsid w:val="002F63DD"/>
    <w:rsid w:val="002F63FF"/>
    <w:rsid w:val="002F661F"/>
    <w:rsid w:val="002F6A8E"/>
    <w:rsid w:val="0030123A"/>
    <w:rsid w:val="0030179B"/>
    <w:rsid w:val="00302489"/>
    <w:rsid w:val="003031D1"/>
    <w:rsid w:val="003034B7"/>
    <w:rsid w:val="00304421"/>
    <w:rsid w:val="0030446D"/>
    <w:rsid w:val="00305038"/>
    <w:rsid w:val="00305126"/>
    <w:rsid w:val="003060A1"/>
    <w:rsid w:val="00306271"/>
    <w:rsid w:val="003069DF"/>
    <w:rsid w:val="00311796"/>
    <w:rsid w:val="00311A59"/>
    <w:rsid w:val="00311A93"/>
    <w:rsid w:val="003178D1"/>
    <w:rsid w:val="00317B5F"/>
    <w:rsid w:val="003204A7"/>
    <w:rsid w:val="003205BC"/>
    <w:rsid w:val="003213D0"/>
    <w:rsid w:val="00321DA3"/>
    <w:rsid w:val="00322E7F"/>
    <w:rsid w:val="0032377E"/>
    <w:rsid w:val="00323D3D"/>
    <w:rsid w:val="00325985"/>
    <w:rsid w:val="00327549"/>
    <w:rsid w:val="00332C1C"/>
    <w:rsid w:val="0033388F"/>
    <w:rsid w:val="0033412C"/>
    <w:rsid w:val="00334DA3"/>
    <w:rsid w:val="00336239"/>
    <w:rsid w:val="003367F7"/>
    <w:rsid w:val="00336D23"/>
    <w:rsid w:val="003372E8"/>
    <w:rsid w:val="003373E2"/>
    <w:rsid w:val="00337A46"/>
    <w:rsid w:val="00342DA3"/>
    <w:rsid w:val="003436BD"/>
    <w:rsid w:val="00343C9E"/>
    <w:rsid w:val="003448F0"/>
    <w:rsid w:val="00344A73"/>
    <w:rsid w:val="00344D6B"/>
    <w:rsid w:val="00344EFA"/>
    <w:rsid w:val="00345141"/>
    <w:rsid w:val="003453B9"/>
    <w:rsid w:val="0034578A"/>
    <w:rsid w:val="00346434"/>
    <w:rsid w:val="00346AB6"/>
    <w:rsid w:val="00346E7C"/>
    <w:rsid w:val="00347ED7"/>
    <w:rsid w:val="0035195C"/>
    <w:rsid w:val="003525B9"/>
    <w:rsid w:val="0035450F"/>
    <w:rsid w:val="00354F77"/>
    <w:rsid w:val="003555CC"/>
    <w:rsid w:val="00355E69"/>
    <w:rsid w:val="00356519"/>
    <w:rsid w:val="00357B63"/>
    <w:rsid w:val="00361954"/>
    <w:rsid w:val="00361974"/>
    <w:rsid w:val="0036201F"/>
    <w:rsid w:val="0036237C"/>
    <w:rsid w:val="003649EB"/>
    <w:rsid w:val="0036537C"/>
    <w:rsid w:val="003677AB"/>
    <w:rsid w:val="003700F2"/>
    <w:rsid w:val="00370F06"/>
    <w:rsid w:val="003713DC"/>
    <w:rsid w:val="00371573"/>
    <w:rsid w:val="00372A61"/>
    <w:rsid w:val="00372ED6"/>
    <w:rsid w:val="00372FA1"/>
    <w:rsid w:val="00373380"/>
    <w:rsid w:val="00373D8E"/>
    <w:rsid w:val="003754EE"/>
    <w:rsid w:val="00381285"/>
    <w:rsid w:val="00381711"/>
    <w:rsid w:val="00381AF0"/>
    <w:rsid w:val="0038236B"/>
    <w:rsid w:val="00382CE8"/>
    <w:rsid w:val="00384192"/>
    <w:rsid w:val="00386AD5"/>
    <w:rsid w:val="00387740"/>
    <w:rsid w:val="00387BCA"/>
    <w:rsid w:val="003907C5"/>
    <w:rsid w:val="00390C1D"/>
    <w:rsid w:val="00390C1F"/>
    <w:rsid w:val="0039157F"/>
    <w:rsid w:val="0039363D"/>
    <w:rsid w:val="00393B6D"/>
    <w:rsid w:val="00394E2C"/>
    <w:rsid w:val="0039503F"/>
    <w:rsid w:val="003960C8"/>
    <w:rsid w:val="003961CE"/>
    <w:rsid w:val="003972E0"/>
    <w:rsid w:val="003A07BE"/>
    <w:rsid w:val="003A1E5E"/>
    <w:rsid w:val="003A21C3"/>
    <w:rsid w:val="003A2873"/>
    <w:rsid w:val="003A339C"/>
    <w:rsid w:val="003A414F"/>
    <w:rsid w:val="003A7CE2"/>
    <w:rsid w:val="003B02B8"/>
    <w:rsid w:val="003B0949"/>
    <w:rsid w:val="003B1962"/>
    <w:rsid w:val="003B3B5E"/>
    <w:rsid w:val="003B3C6F"/>
    <w:rsid w:val="003B4010"/>
    <w:rsid w:val="003B40A6"/>
    <w:rsid w:val="003B4F04"/>
    <w:rsid w:val="003B5E0F"/>
    <w:rsid w:val="003B5FE3"/>
    <w:rsid w:val="003B61AA"/>
    <w:rsid w:val="003C03DE"/>
    <w:rsid w:val="003C4176"/>
    <w:rsid w:val="003C466E"/>
    <w:rsid w:val="003C4B20"/>
    <w:rsid w:val="003C5B2B"/>
    <w:rsid w:val="003C603C"/>
    <w:rsid w:val="003C633E"/>
    <w:rsid w:val="003D1B69"/>
    <w:rsid w:val="003D1BC6"/>
    <w:rsid w:val="003D3ADD"/>
    <w:rsid w:val="003D45F6"/>
    <w:rsid w:val="003D46B0"/>
    <w:rsid w:val="003D470E"/>
    <w:rsid w:val="003D5EFC"/>
    <w:rsid w:val="003D67D4"/>
    <w:rsid w:val="003D6C95"/>
    <w:rsid w:val="003E0AE4"/>
    <w:rsid w:val="003E1061"/>
    <w:rsid w:val="003E14D4"/>
    <w:rsid w:val="003E3170"/>
    <w:rsid w:val="003E33CA"/>
    <w:rsid w:val="003E721B"/>
    <w:rsid w:val="003E7303"/>
    <w:rsid w:val="003F06A8"/>
    <w:rsid w:val="003F0817"/>
    <w:rsid w:val="003F1EDF"/>
    <w:rsid w:val="003F23E6"/>
    <w:rsid w:val="003F3B11"/>
    <w:rsid w:val="003F43A6"/>
    <w:rsid w:val="003F4CF1"/>
    <w:rsid w:val="003F67F1"/>
    <w:rsid w:val="00401067"/>
    <w:rsid w:val="00401D50"/>
    <w:rsid w:val="00401DF4"/>
    <w:rsid w:val="00403E56"/>
    <w:rsid w:val="00403E5E"/>
    <w:rsid w:val="0040405D"/>
    <w:rsid w:val="004043B4"/>
    <w:rsid w:val="00405386"/>
    <w:rsid w:val="004062F4"/>
    <w:rsid w:val="004074D4"/>
    <w:rsid w:val="00407D2A"/>
    <w:rsid w:val="00407FEE"/>
    <w:rsid w:val="004101F8"/>
    <w:rsid w:val="0041077A"/>
    <w:rsid w:val="00410C8A"/>
    <w:rsid w:val="00412663"/>
    <w:rsid w:val="00414127"/>
    <w:rsid w:val="0041421F"/>
    <w:rsid w:val="004147AD"/>
    <w:rsid w:val="0041577C"/>
    <w:rsid w:val="00415CAE"/>
    <w:rsid w:val="00416080"/>
    <w:rsid w:val="004164CC"/>
    <w:rsid w:val="00417D9F"/>
    <w:rsid w:val="00424E56"/>
    <w:rsid w:val="00425E7B"/>
    <w:rsid w:val="00426895"/>
    <w:rsid w:val="00427672"/>
    <w:rsid w:val="004300F4"/>
    <w:rsid w:val="004304B6"/>
    <w:rsid w:val="00430A8F"/>
    <w:rsid w:val="00430F62"/>
    <w:rsid w:val="0043133C"/>
    <w:rsid w:val="0043297D"/>
    <w:rsid w:val="0043340B"/>
    <w:rsid w:val="00434930"/>
    <w:rsid w:val="004372B6"/>
    <w:rsid w:val="0044104D"/>
    <w:rsid w:val="00441628"/>
    <w:rsid w:val="004418BD"/>
    <w:rsid w:val="0044262B"/>
    <w:rsid w:val="00442849"/>
    <w:rsid w:val="0044358C"/>
    <w:rsid w:val="00443AB6"/>
    <w:rsid w:val="00443CF8"/>
    <w:rsid w:val="004441A4"/>
    <w:rsid w:val="00444AAC"/>
    <w:rsid w:val="00445033"/>
    <w:rsid w:val="0044504F"/>
    <w:rsid w:val="00445753"/>
    <w:rsid w:val="00446383"/>
    <w:rsid w:val="004471C5"/>
    <w:rsid w:val="00450A60"/>
    <w:rsid w:val="004519BB"/>
    <w:rsid w:val="00452541"/>
    <w:rsid w:val="00453586"/>
    <w:rsid w:val="004539B0"/>
    <w:rsid w:val="00453A86"/>
    <w:rsid w:val="00456C91"/>
    <w:rsid w:val="00456E32"/>
    <w:rsid w:val="0046000F"/>
    <w:rsid w:val="00460061"/>
    <w:rsid w:val="00461125"/>
    <w:rsid w:val="0046189F"/>
    <w:rsid w:val="00461A13"/>
    <w:rsid w:val="00461E52"/>
    <w:rsid w:val="004627CA"/>
    <w:rsid w:val="00462CDE"/>
    <w:rsid w:val="004631C8"/>
    <w:rsid w:val="00465957"/>
    <w:rsid w:val="00465B6E"/>
    <w:rsid w:val="00466424"/>
    <w:rsid w:val="004670BF"/>
    <w:rsid w:val="00475367"/>
    <w:rsid w:val="00475ECE"/>
    <w:rsid w:val="0047663A"/>
    <w:rsid w:val="00477AC6"/>
    <w:rsid w:val="00477FD9"/>
    <w:rsid w:val="0048053E"/>
    <w:rsid w:val="00480C5F"/>
    <w:rsid w:val="00483BE0"/>
    <w:rsid w:val="00484F85"/>
    <w:rsid w:val="004867BE"/>
    <w:rsid w:val="00486A4B"/>
    <w:rsid w:val="00487046"/>
    <w:rsid w:val="00490443"/>
    <w:rsid w:val="00491663"/>
    <w:rsid w:val="00492928"/>
    <w:rsid w:val="00495620"/>
    <w:rsid w:val="00495EC9"/>
    <w:rsid w:val="00497F28"/>
    <w:rsid w:val="004A0A98"/>
    <w:rsid w:val="004A1C88"/>
    <w:rsid w:val="004A349E"/>
    <w:rsid w:val="004A3732"/>
    <w:rsid w:val="004A3904"/>
    <w:rsid w:val="004A524C"/>
    <w:rsid w:val="004A52CE"/>
    <w:rsid w:val="004A586A"/>
    <w:rsid w:val="004A5A11"/>
    <w:rsid w:val="004A6549"/>
    <w:rsid w:val="004A6CDF"/>
    <w:rsid w:val="004A72D8"/>
    <w:rsid w:val="004B037C"/>
    <w:rsid w:val="004B175A"/>
    <w:rsid w:val="004B265F"/>
    <w:rsid w:val="004B2CDC"/>
    <w:rsid w:val="004B31DC"/>
    <w:rsid w:val="004B5EB6"/>
    <w:rsid w:val="004B699E"/>
    <w:rsid w:val="004C0085"/>
    <w:rsid w:val="004C018B"/>
    <w:rsid w:val="004C0538"/>
    <w:rsid w:val="004C061F"/>
    <w:rsid w:val="004C094A"/>
    <w:rsid w:val="004C0C1A"/>
    <w:rsid w:val="004C11F2"/>
    <w:rsid w:val="004C3AAE"/>
    <w:rsid w:val="004C4070"/>
    <w:rsid w:val="004C4A53"/>
    <w:rsid w:val="004C4EE8"/>
    <w:rsid w:val="004C61C9"/>
    <w:rsid w:val="004D0EDB"/>
    <w:rsid w:val="004D3A0D"/>
    <w:rsid w:val="004D470A"/>
    <w:rsid w:val="004D4759"/>
    <w:rsid w:val="004D601E"/>
    <w:rsid w:val="004D62E3"/>
    <w:rsid w:val="004D7D63"/>
    <w:rsid w:val="004D7FC6"/>
    <w:rsid w:val="004E07EC"/>
    <w:rsid w:val="004E0AB4"/>
    <w:rsid w:val="004E13E5"/>
    <w:rsid w:val="004E1F54"/>
    <w:rsid w:val="004E4EA8"/>
    <w:rsid w:val="004E6DC1"/>
    <w:rsid w:val="004E763E"/>
    <w:rsid w:val="004E7CEB"/>
    <w:rsid w:val="004F0051"/>
    <w:rsid w:val="004F18DB"/>
    <w:rsid w:val="004F1CB0"/>
    <w:rsid w:val="004F21BE"/>
    <w:rsid w:val="004F26CA"/>
    <w:rsid w:val="004F2969"/>
    <w:rsid w:val="004F2B83"/>
    <w:rsid w:val="004F2E6F"/>
    <w:rsid w:val="004F33BE"/>
    <w:rsid w:val="004F4285"/>
    <w:rsid w:val="004F4EEF"/>
    <w:rsid w:val="004F53F8"/>
    <w:rsid w:val="004F5737"/>
    <w:rsid w:val="004F5F87"/>
    <w:rsid w:val="00500326"/>
    <w:rsid w:val="0050263F"/>
    <w:rsid w:val="005027BD"/>
    <w:rsid w:val="00502CDC"/>
    <w:rsid w:val="00503B62"/>
    <w:rsid w:val="00504737"/>
    <w:rsid w:val="005052A8"/>
    <w:rsid w:val="005056FE"/>
    <w:rsid w:val="00506D29"/>
    <w:rsid w:val="005105F9"/>
    <w:rsid w:val="00511C27"/>
    <w:rsid w:val="00513F8D"/>
    <w:rsid w:val="00514B79"/>
    <w:rsid w:val="00515357"/>
    <w:rsid w:val="00516B1D"/>
    <w:rsid w:val="0051724C"/>
    <w:rsid w:val="00517314"/>
    <w:rsid w:val="005178B0"/>
    <w:rsid w:val="00517A03"/>
    <w:rsid w:val="00520130"/>
    <w:rsid w:val="005229C6"/>
    <w:rsid w:val="00522BD8"/>
    <w:rsid w:val="0052304D"/>
    <w:rsid w:val="00523084"/>
    <w:rsid w:val="00523CDC"/>
    <w:rsid w:val="0052548A"/>
    <w:rsid w:val="00526011"/>
    <w:rsid w:val="00527C99"/>
    <w:rsid w:val="00530A87"/>
    <w:rsid w:val="00530E99"/>
    <w:rsid w:val="005335C5"/>
    <w:rsid w:val="00533607"/>
    <w:rsid w:val="00534FF9"/>
    <w:rsid w:val="0053584D"/>
    <w:rsid w:val="00536589"/>
    <w:rsid w:val="00537365"/>
    <w:rsid w:val="00537CFC"/>
    <w:rsid w:val="00540FA7"/>
    <w:rsid w:val="00542BF9"/>
    <w:rsid w:val="00542ED2"/>
    <w:rsid w:val="00544468"/>
    <w:rsid w:val="00545239"/>
    <w:rsid w:val="005505F4"/>
    <w:rsid w:val="00553A6E"/>
    <w:rsid w:val="0055503B"/>
    <w:rsid w:val="00555326"/>
    <w:rsid w:val="0055606B"/>
    <w:rsid w:val="00561679"/>
    <w:rsid w:val="00561742"/>
    <w:rsid w:val="00561B3C"/>
    <w:rsid w:val="00564349"/>
    <w:rsid w:val="0056451E"/>
    <w:rsid w:val="00564699"/>
    <w:rsid w:val="00566F2A"/>
    <w:rsid w:val="00567392"/>
    <w:rsid w:val="00567E51"/>
    <w:rsid w:val="005701C5"/>
    <w:rsid w:val="005708A7"/>
    <w:rsid w:val="005712C5"/>
    <w:rsid w:val="0057229A"/>
    <w:rsid w:val="00575927"/>
    <w:rsid w:val="005766B9"/>
    <w:rsid w:val="00576A05"/>
    <w:rsid w:val="00577F41"/>
    <w:rsid w:val="00581DC6"/>
    <w:rsid w:val="0058360F"/>
    <w:rsid w:val="00583D78"/>
    <w:rsid w:val="005841E7"/>
    <w:rsid w:val="00584561"/>
    <w:rsid w:val="00584618"/>
    <w:rsid w:val="00586685"/>
    <w:rsid w:val="00586E8E"/>
    <w:rsid w:val="005903C6"/>
    <w:rsid w:val="005905FB"/>
    <w:rsid w:val="005928BB"/>
    <w:rsid w:val="0059401B"/>
    <w:rsid w:val="0059472E"/>
    <w:rsid w:val="00594A52"/>
    <w:rsid w:val="00595DDC"/>
    <w:rsid w:val="00596A6D"/>
    <w:rsid w:val="005A0939"/>
    <w:rsid w:val="005A17E8"/>
    <w:rsid w:val="005A1D42"/>
    <w:rsid w:val="005A2524"/>
    <w:rsid w:val="005A25C6"/>
    <w:rsid w:val="005A2739"/>
    <w:rsid w:val="005A2A79"/>
    <w:rsid w:val="005A376C"/>
    <w:rsid w:val="005A3D77"/>
    <w:rsid w:val="005A5AFB"/>
    <w:rsid w:val="005B05B0"/>
    <w:rsid w:val="005B0825"/>
    <w:rsid w:val="005B1192"/>
    <w:rsid w:val="005B148C"/>
    <w:rsid w:val="005B1A8B"/>
    <w:rsid w:val="005B347E"/>
    <w:rsid w:val="005B49CA"/>
    <w:rsid w:val="005B501C"/>
    <w:rsid w:val="005B55E2"/>
    <w:rsid w:val="005B7379"/>
    <w:rsid w:val="005B73F4"/>
    <w:rsid w:val="005B7576"/>
    <w:rsid w:val="005C25D1"/>
    <w:rsid w:val="005C2C96"/>
    <w:rsid w:val="005C3363"/>
    <w:rsid w:val="005C3563"/>
    <w:rsid w:val="005C385F"/>
    <w:rsid w:val="005C46F5"/>
    <w:rsid w:val="005C62E5"/>
    <w:rsid w:val="005C6488"/>
    <w:rsid w:val="005C744B"/>
    <w:rsid w:val="005C74EC"/>
    <w:rsid w:val="005C770C"/>
    <w:rsid w:val="005C7780"/>
    <w:rsid w:val="005C7A79"/>
    <w:rsid w:val="005D046B"/>
    <w:rsid w:val="005D35D0"/>
    <w:rsid w:val="005D42C5"/>
    <w:rsid w:val="005D4483"/>
    <w:rsid w:val="005D646D"/>
    <w:rsid w:val="005D76CF"/>
    <w:rsid w:val="005D7C24"/>
    <w:rsid w:val="005E001C"/>
    <w:rsid w:val="005E12AD"/>
    <w:rsid w:val="005E470B"/>
    <w:rsid w:val="005E4BC7"/>
    <w:rsid w:val="005E5367"/>
    <w:rsid w:val="005E5BA6"/>
    <w:rsid w:val="005E67DA"/>
    <w:rsid w:val="005E7523"/>
    <w:rsid w:val="005F0503"/>
    <w:rsid w:val="005F3103"/>
    <w:rsid w:val="005F472B"/>
    <w:rsid w:val="005F5BF8"/>
    <w:rsid w:val="005F671D"/>
    <w:rsid w:val="005F7E65"/>
    <w:rsid w:val="00600560"/>
    <w:rsid w:val="00600960"/>
    <w:rsid w:val="006023CA"/>
    <w:rsid w:val="00603481"/>
    <w:rsid w:val="00604514"/>
    <w:rsid w:val="00604902"/>
    <w:rsid w:val="00606BD5"/>
    <w:rsid w:val="00607200"/>
    <w:rsid w:val="00607FD2"/>
    <w:rsid w:val="00610F37"/>
    <w:rsid w:val="006116F2"/>
    <w:rsid w:val="00611D8B"/>
    <w:rsid w:val="006120F5"/>
    <w:rsid w:val="0061241F"/>
    <w:rsid w:val="0061386A"/>
    <w:rsid w:val="00613E6F"/>
    <w:rsid w:val="006145E6"/>
    <w:rsid w:val="00614D15"/>
    <w:rsid w:val="0061571D"/>
    <w:rsid w:val="0061671B"/>
    <w:rsid w:val="00617BEB"/>
    <w:rsid w:val="00617CC2"/>
    <w:rsid w:val="00617DDD"/>
    <w:rsid w:val="00620557"/>
    <w:rsid w:val="006209A0"/>
    <w:rsid w:val="00621A1C"/>
    <w:rsid w:val="00621D54"/>
    <w:rsid w:val="00621FEA"/>
    <w:rsid w:val="00622472"/>
    <w:rsid w:val="0062384E"/>
    <w:rsid w:val="00623C05"/>
    <w:rsid w:val="00624CDA"/>
    <w:rsid w:val="00624DA5"/>
    <w:rsid w:val="00626CE0"/>
    <w:rsid w:val="00627626"/>
    <w:rsid w:val="00627B57"/>
    <w:rsid w:val="0063051F"/>
    <w:rsid w:val="00630D13"/>
    <w:rsid w:val="006317F0"/>
    <w:rsid w:val="00632523"/>
    <w:rsid w:val="0063363A"/>
    <w:rsid w:val="0063485C"/>
    <w:rsid w:val="00635B33"/>
    <w:rsid w:val="00635F23"/>
    <w:rsid w:val="00637FA3"/>
    <w:rsid w:val="00642115"/>
    <w:rsid w:val="00644343"/>
    <w:rsid w:val="006448FB"/>
    <w:rsid w:val="00645DF9"/>
    <w:rsid w:val="0064745A"/>
    <w:rsid w:val="00647607"/>
    <w:rsid w:val="00651644"/>
    <w:rsid w:val="00651B90"/>
    <w:rsid w:val="00654E15"/>
    <w:rsid w:val="00656402"/>
    <w:rsid w:val="00656605"/>
    <w:rsid w:val="00656A72"/>
    <w:rsid w:val="00656D8E"/>
    <w:rsid w:val="0065701F"/>
    <w:rsid w:val="00657A23"/>
    <w:rsid w:val="00660958"/>
    <w:rsid w:val="00660BD7"/>
    <w:rsid w:val="0066124B"/>
    <w:rsid w:val="00664183"/>
    <w:rsid w:val="006650E2"/>
    <w:rsid w:val="00666C80"/>
    <w:rsid w:val="0066799A"/>
    <w:rsid w:val="00670982"/>
    <w:rsid w:val="00672508"/>
    <w:rsid w:val="0067383D"/>
    <w:rsid w:val="006743C3"/>
    <w:rsid w:val="00674D5D"/>
    <w:rsid w:val="00674DAD"/>
    <w:rsid w:val="006766A5"/>
    <w:rsid w:val="006769A0"/>
    <w:rsid w:val="00677857"/>
    <w:rsid w:val="00681445"/>
    <w:rsid w:val="00681967"/>
    <w:rsid w:val="00681EC0"/>
    <w:rsid w:val="00683679"/>
    <w:rsid w:val="00685B6D"/>
    <w:rsid w:val="0068658A"/>
    <w:rsid w:val="006865F8"/>
    <w:rsid w:val="0069024C"/>
    <w:rsid w:val="006909AC"/>
    <w:rsid w:val="00691806"/>
    <w:rsid w:val="00691926"/>
    <w:rsid w:val="00692D50"/>
    <w:rsid w:val="00693C27"/>
    <w:rsid w:val="006959C2"/>
    <w:rsid w:val="0069661F"/>
    <w:rsid w:val="00696849"/>
    <w:rsid w:val="006A06BF"/>
    <w:rsid w:val="006A6247"/>
    <w:rsid w:val="006A7D50"/>
    <w:rsid w:val="006B02AE"/>
    <w:rsid w:val="006B0A77"/>
    <w:rsid w:val="006B4ECA"/>
    <w:rsid w:val="006B6CE7"/>
    <w:rsid w:val="006C0F4F"/>
    <w:rsid w:val="006C130E"/>
    <w:rsid w:val="006C29DA"/>
    <w:rsid w:val="006C3A95"/>
    <w:rsid w:val="006C3EC3"/>
    <w:rsid w:val="006C469A"/>
    <w:rsid w:val="006C5071"/>
    <w:rsid w:val="006C5CDB"/>
    <w:rsid w:val="006C5DA6"/>
    <w:rsid w:val="006C6062"/>
    <w:rsid w:val="006C628D"/>
    <w:rsid w:val="006C67C4"/>
    <w:rsid w:val="006C7B10"/>
    <w:rsid w:val="006D02F0"/>
    <w:rsid w:val="006D21A5"/>
    <w:rsid w:val="006D307D"/>
    <w:rsid w:val="006D311E"/>
    <w:rsid w:val="006D39E9"/>
    <w:rsid w:val="006D4C2F"/>
    <w:rsid w:val="006D4CD3"/>
    <w:rsid w:val="006D7B9D"/>
    <w:rsid w:val="006E017D"/>
    <w:rsid w:val="006E07BC"/>
    <w:rsid w:val="006E0DFA"/>
    <w:rsid w:val="006E2FE9"/>
    <w:rsid w:val="006E41E8"/>
    <w:rsid w:val="006E464D"/>
    <w:rsid w:val="006E4D6C"/>
    <w:rsid w:val="006E5084"/>
    <w:rsid w:val="006E59FF"/>
    <w:rsid w:val="006E7DA2"/>
    <w:rsid w:val="006F0E07"/>
    <w:rsid w:val="006F2A93"/>
    <w:rsid w:val="006F3455"/>
    <w:rsid w:val="006F4BF8"/>
    <w:rsid w:val="0070006A"/>
    <w:rsid w:val="00700B26"/>
    <w:rsid w:val="007017AD"/>
    <w:rsid w:val="00702480"/>
    <w:rsid w:val="007033D0"/>
    <w:rsid w:val="00703873"/>
    <w:rsid w:val="007042D2"/>
    <w:rsid w:val="007046C9"/>
    <w:rsid w:val="00704A1E"/>
    <w:rsid w:val="00704DA8"/>
    <w:rsid w:val="00706184"/>
    <w:rsid w:val="007072F9"/>
    <w:rsid w:val="007117FD"/>
    <w:rsid w:val="007118BC"/>
    <w:rsid w:val="00711B73"/>
    <w:rsid w:val="00712377"/>
    <w:rsid w:val="00713EC3"/>
    <w:rsid w:val="007149F5"/>
    <w:rsid w:val="00716C72"/>
    <w:rsid w:val="00717D45"/>
    <w:rsid w:val="00717F0F"/>
    <w:rsid w:val="00720A1D"/>
    <w:rsid w:val="00723CE0"/>
    <w:rsid w:val="00727F63"/>
    <w:rsid w:val="0073177E"/>
    <w:rsid w:val="00731B13"/>
    <w:rsid w:val="00731B2A"/>
    <w:rsid w:val="00731E71"/>
    <w:rsid w:val="007353E7"/>
    <w:rsid w:val="00736F3A"/>
    <w:rsid w:val="0074008A"/>
    <w:rsid w:val="0074152D"/>
    <w:rsid w:val="007427DE"/>
    <w:rsid w:val="00742981"/>
    <w:rsid w:val="00743977"/>
    <w:rsid w:val="00743B01"/>
    <w:rsid w:val="007446EC"/>
    <w:rsid w:val="007469F7"/>
    <w:rsid w:val="00746A81"/>
    <w:rsid w:val="007475F7"/>
    <w:rsid w:val="007505DF"/>
    <w:rsid w:val="00750C57"/>
    <w:rsid w:val="007515A6"/>
    <w:rsid w:val="00756621"/>
    <w:rsid w:val="00756EBF"/>
    <w:rsid w:val="00762774"/>
    <w:rsid w:val="00764531"/>
    <w:rsid w:val="00764768"/>
    <w:rsid w:val="0076481C"/>
    <w:rsid w:val="0076498A"/>
    <w:rsid w:val="00764C89"/>
    <w:rsid w:val="0076646D"/>
    <w:rsid w:val="00766687"/>
    <w:rsid w:val="00767694"/>
    <w:rsid w:val="0076775B"/>
    <w:rsid w:val="00767FCE"/>
    <w:rsid w:val="00770F67"/>
    <w:rsid w:val="00773CAA"/>
    <w:rsid w:val="00773F66"/>
    <w:rsid w:val="00776867"/>
    <w:rsid w:val="00780AF3"/>
    <w:rsid w:val="00781F15"/>
    <w:rsid w:val="007820B9"/>
    <w:rsid w:val="00783264"/>
    <w:rsid w:val="007866C6"/>
    <w:rsid w:val="007874B7"/>
    <w:rsid w:val="00790C11"/>
    <w:rsid w:val="00791223"/>
    <w:rsid w:val="00792491"/>
    <w:rsid w:val="00793DC8"/>
    <w:rsid w:val="00794070"/>
    <w:rsid w:val="00794D5A"/>
    <w:rsid w:val="007962D5"/>
    <w:rsid w:val="00796A44"/>
    <w:rsid w:val="00796CF6"/>
    <w:rsid w:val="00797211"/>
    <w:rsid w:val="007A0729"/>
    <w:rsid w:val="007A07B4"/>
    <w:rsid w:val="007A0BC5"/>
    <w:rsid w:val="007A1AEA"/>
    <w:rsid w:val="007A3650"/>
    <w:rsid w:val="007A378F"/>
    <w:rsid w:val="007A399B"/>
    <w:rsid w:val="007A4B62"/>
    <w:rsid w:val="007A4F2E"/>
    <w:rsid w:val="007A5FBF"/>
    <w:rsid w:val="007A7088"/>
    <w:rsid w:val="007B1913"/>
    <w:rsid w:val="007B1C4F"/>
    <w:rsid w:val="007B2DDF"/>
    <w:rsid w:val="007B33FB"/>
    <w:rsid w:val="007B46B3"/>
    <w:rsid w:val="007B5166"/>
    <w:rsid w:val="007B61AB"/>
    <w:rsid w:val="007C0585"/>
    <w:rsid w:val="007C067F"/>
    <w:rsid w:val="007C0CF2"/>
    <w:rsid w:val="007C131D"/>
    <w:rsid w:val="007C14E0"/>
    <w:rsid w:val="007C1831"/>
    <w:rsid w:val="007C1D3B"/>
    <w:rsid w:val="007C1F74"/>
    <w:rsid w:val="007C49FC"/>
    <w:rsid w:val="007C5C35"/>
    <w:rsid w:val="007C7A41"/>
    <w:rsid w:val="007C7AB5"/>
    <w:rsid w:val="007D0037"/>
    <w:rsid w:val="007D01AC"/>
    <w:rsid w:val="007D0C19"/>
    <w:rsid w:val="007D1A05"/>
    <w:rsid w:val="007D1C0C"/>
    <w:rsid w:val="007D24A0"/>
    <w:rsid w:val="007D2A52"/>
    <w:rsid w:val="007D3A00"/>
    <w:rsid w:val="007D3AD0"/>
    <w:rsid w:val="007D48BF"/>
    <w:rsid w:val="007D4CFF"/>
    <w:rsid w:val="007D6021"/>
    <w:rsid w:val="007D7F10"/>
    <w:rsid w:val="007E068A"/>
    <w:rsid w:val="007E0E57"/>
    <w:rsid w:val="007E2F0B"/>
    <w:rsid w:val="007E3835"/>
    <w:rsid w:val="007E485C"/>
    <w:rsid w:val="007E533B"/>
    <w:rsid w:val="007E6C33"/>
    <w:rsid w:val="007E79A6"/>
    <w:rsid w:val="007E7F60"/>
    <w:rsid w:val="007F0A43"/>
    <w:rsid w:val="007F0D6F"/>
    <w:rsid w:val="007F0DB9"/>
    <w:rsid w:val="007F17B3"/>
    <w:rsid w:val="007F3326"/>
    <w:rsid w:val="007F3500"/>
    <w:rsid w:val="007F51D2"/>
    <w:rsid w:val="007F56C5"/>
    <w:rsid w:val="007F5DFF"/>
    <w:rsid w:val="007F6371"/>
    <w:rsid w:val="007F7915"/>
    <w:rsid w:val="007F7F0C"/>
    <w:rsid w:val="00800BF0"/>
    <w:rsid w:val="0080207C"/>
    <w:rsid w:val="00804CED"/>
    <w:rsid w:val="008058B4"/>
    <w:rsid w:val="00806BAE"/>
    <w:rsid w:val="00807F8E"/>
    <w:rsid w:val="008105E1"/>
    <w:rsid w:val="008108FC"/>
    <w:rsid w:val="00810923"/>
    <w:rsid w:val="00812D17"/>
    <w:rsid w:val="00812DF6"/>
    <w:rsid w:val="008130FE"/>
    <w:rsid w:val="00814277"/>
    <w:rsid w:val="00814EF5"/>
    <w:rsid w:val="00814FD1"/>
    <w:rsid w:val="00815731"/>
    <w:rsid w:val="008160F2"/>
    <w:rsid w:val="0081782F"/>
    <w:rsid w:val="008227BE"/>
    <w:rsid w:val="00823B65"/>
    <w:rsid w:val="008246A3"/>
    <w:rsid w:val="00825A85"/>
    <w:rsid w:val="0082699D"/>
    <w:rsid w:val="0082732F"/>
    <w:rsid w:val="0083066A"/>
    <w:rsid w:val="008309E2"/>
    <w:rsid w:val="00832604"/>
    <w:rsid w:val="008326AE"/>
    <w:rsid w:val="00832FCA"/>
    <w:rsid w:val="00833578"/>
    <w:rsid w:val="0083361B"/>
    <w:rsid w:val="0083395D"/>
    <w:rsid w:val="00834A57"/>
    <w:rsid w:val="00836604"/>
    <w:rsid w:val="008372B0"/>
    <w:rsid w:val="008400F6"/>
    <w:rsid w:val="008402AC"/>
    <w:rsid w:val="00842179"/>
    <w:rsid w:val="0084371F"/>
    <w:rsid w:val="00845F95"/>
    <w:rsid w:val="00846C74"/>
    <w:rsid w:val="00847279"/>
    <w:rsid w:val="0085290C"/>
    <w:rsid w:val="008544FC"/>
    <w:rsid w:val="008546DD"/>
    <w:rsid w:val="008573A0"/>
    <w:rsid w:val="0085782C"/>
    <w:rsid w:val="00857FEB"/>
    <w:rsid w:val="00861BA8"/>
    <w:rsid w:val="00863BE1"/>
    <w:rsid w:val="00865DF2"/>
    <w:rsid w:val="0086739B"/>
    <w:rsid w:val="00872013"/>
    <w:rsid w:val="008730AC"/>
    <w:rsid w:val="00873187"/>
    <w:rsid w:val="00873B2C"/>
    <w:rsid w:val="00873F4D"/>
    <w:rsid w:val="0087505C"/>
    <w:rsid w:val="00877FAB"/>
    <w:rsid w:val="008800CD"/>
    <w:rsid w:val="00881D7F"/>
    <w:rsid w:val="00882ED3"/>
    <w:rsid w:val="00885098"/>
    <w:rsid w:val="008854E6"/>
    <w:rsid w:val="008855A6"/>
    <w:rsid w:val="00886D89"/>
    <w:rsid w:val="008914D7"/>
    <w:rsid w:val="00891516"/>
    <w:rsid w:val="00891671"/>
    <w:rsid w:val="008920D3"/>
    <w:rsid w:val="008931FE"/>
    <w:rsid w:val="008934DE"/>
    <w:rsid w:val="0089372C"/>
    <w:rsid w:val="008937EA"/>
    <w:rsid w:val="00894AB5"/>
    <w:rsid w:val="00895E52"/>
    <w:rsid w:val="00896763"/>
    <w:rsid w:val="00896A71"/>
    <w:rsid w:val="008970E5"/>
    <w:rsid w:val="00897382"/>
    <w:rsid w:val="008A1F51"/>
    <w:rsid w:val="008A293C"/>
    <w:rsid w:val="008A2DB1"/>
    <w:rsid w:val="008A3900"/>
    <w:rsid w:val="008A42DF"/>
    <w:rsid w:val="008A46CE"/>
    <w:rsid w:val="008A59A8"/>
    <w:rsid w:val="008A5A97"/>
    <w:rsid w:val="008B0382"/>
    <w:rsid w:val="008B1980"/>
    <w:rsid w:val="008B244F"/>
    <w:rsid w:val="008B27E2"/>
    <w:rsid w:val="008B485E"/>
    <w:rsid w:val="008B4C3A"/>
    <w:rsid w:val="008B6E7B"/>
    <w:rsid w:val="008B73B9"/>
    <w:rsid w:val="008C084E"/>
    <w:rsid w:val="008C094F"/>
    <w:rsid w:val="008C0F5B"/>
    <w:rsid w:val="008C1DEB"/>
    <w:rsid w:val="008C27A5"/>
    <w:rsid w:val="008C2A63"/>
    <w:rsid w:val="008C41CA"/>
    <w:rsid w:val="008C55CE"/>
    <w:rsid w:val="008C67F0"/>
    <w:rsid w:val="008C7054"/>
    <w:rsid w:val="008C7BA1"/>
    <w:rsid w:val="008D05BC"/>
    <w:rsid w:val="008D08F7"/>
    <w:rsid w:val="008D0DC4"/>
    <w:rsid w:val="008D192B"/>
    <w:rsid w:val="008D1C76"/>
    <w:rsid w:val="008D1E36"/>
    <w:rsid w:val="008D2861"/>
    <w:rsid w:val="008D2D10"/>
    <w:rsid w:val="008D31B6"/>
    <w:rsid w:val="008D32CE"/>
    <w:rsid w:val="008D3D49"/>
    <w:rsid w:val="008D4009"/>
    <w:rsid w:val="008D4992"/>
    <w:rsid w:val="008D61EB"/>
    <w:rsid w:val="008D6960"/>
    <w:rsid w:val="008E03AE"/>
    <w:rsid w:val="008E0BFE"/>
    <w:rsid w:val="008E13F4"/>
    <w:rsid w:val="008E141F"/>
    <w:rsid w:val="008E1880"/>
    <w:rsid w:val="008E29FC"/>
    <w:rsid w:val="008E3D1B"/>
    <w:rsid w:val="008E3F7F"/>
    <w:rsid w:val="008E4D66"/>
    <w:rsid w:val="008E5D3C"/>
    <w:rsid w:val="008F05F3"/>
    <w:rsid w:val="008F5783"/>
    <w:rsid w:val="008F6399"/>
    <w:rsid w:val="008F6679"/>
    <w:rsid w:val="008F6870"/>
    <w:rsid w:val="008F69B1"/>
    <w:rsid w:val="008F6C4B"/>
    <w:rsid w:val="008F7DA0"/>
    <w:rsid w:val="00900608"/>
    <w:rsid w:val="00900876"/>
    <w:rsid w:val="0090112C"/>
    <w:rsid w:val="00902DD4"/>
    <w:rsid w:val="00903302"/>
    <w:rsid w:val="00903A89"/>
    <w:rsid w:val="0090431E"/>
    <w:rsid w:val="0090452A"/>
    <w:rsid w:val="00904C26"/>
    <w:rsid w:val="00905520"/>
    <w:rsid w:val="009055A9"/>
    <w:rsid w:val="00905E7F"/>
    <w:rsid w:val="00910B1F"/>
    <w:rsid w:val="00913B13"/>
    <w:rsid w:val="00913BE2"/>
    <w:rsid w:val="00914C6E"/>
    <w:rsid w:val="00914CDB"/>
    <w:rsid w:val="00916B06"/>
    <w:rsid w:val="00921BE3"/>
    <w:rsid w:val="00922419"/>
    <w:rsid w:val="00922DAA"/>
    <w:rsid w:val="009238A0"/>
    <w:rsid w:val="00923E84"/>
    <w:rsid w:val="00924D0E"/>
    <w:rsid w:val="0092675A"/>
    <w:rsid w:val="0092689D"/>
    <w:rsid w:val="00930C9E"/>
    <w:rsid w:val="009314AE"/>
    <w:rsid w:val="00932B8D"/>
    <w:rsid w:val="0093311C"/>
    <w:rsid w:val="00933216"/>
    <w:rsid w:val="0093431E"/>
    <w:rsid w:val="00934864"/>
    <w:rsid w:val="00934B9E"/>
    <w:rsid w:val="00935A24"/>
    <w:rsid w:val="00937115"/>
    <w:rsid w:val="00937967"/>
    <w:rsid w:val="00941281"/>
    <w:rsid w:val="00941642"/>
    <w:rsid w:val="00941817"/>
    <w:rsid w:val="00942DF2"/>
    <w:rsid w:val="009438AE"/>
    <w:rsid w:val="00943DBF"/>
    <w:rsid w:val="00943ED6"/>
    <w:rsid w:val="00944985"/>
    <w:rsid w:val="00947140"/>
    <w:rsid w:val="009474E3"/>
    <w:rsid w:val="009504EB"/>
    <w:rsid w:val="00952FBF"/>
    <w:rsid w:val="00953060"/>
    <w:rsid w:val="009531AC"/>
    <w:rsid w:val="00953AA2"/>
    <w:rsid w:val="00953B41"/>
    <w:rsid w:val="00953DB2"/>
    <w:rsid w:val="00956792"/>
    <w:rsid w:val="00956E2C"/>
    <w:rsid w:val="00960754"/>
    <w:rsid w:val="00961063"/>
    <w:rsid w:val="009618D8"/>
    <w:rsid w:val="00961925"/>
    <w:rsid w:val="00961C2C"/>
    <w:rsid w:val="00963C8E"/>
    <w:rsid w:val="00964239"/>
    <w:rsid w:val="00966044"/>
    <w:rsid w:val="00966362"/>
    <w:rsid w:val="009674E5"/>
    <w:rsid w:val="00967E27"/>
    <w:rsid w:val="009702C4"/>
    <w:rsid w:val="00970539"/>
    <w:rsid w:val="00970EE2"/>
    <w:rsid w:val="00971386"/>
    <w:rsid w:val="009745CA"/>
    <w:rsid w:val="00974C21"/>
    <w:rsid w:val="00974CD9"/>
    <w:rsid w:val="009751B4"/>
    <w:rsid w:val="009769F4"/>
    <w:rsid w:val="00977A25"/>
    <w:rsid w:val="0098035F"/>
    <w:rsid w:val="009831A0"/>
    <w:rsid w:val="00983801"/>
    <w:rsid w:val="00985AE1"/>
    <w:rsid w:val="00986659"/>
    <w:rsid w:val="00986876"/>
    <w:rsid w:val="00986D2A"/>
    <w:rsid w:val="00986F66"/>
    <w:rsid w:val="00990136"/>
    <w:rsid w:val="00990630"/>
    <w:rsid w:val="00991669"/>
    <w:rsid w:val="0099463D"/>
    <w:rsid w:val="009950E3"/>
    <w:rsid w:val="009952A0"/>
    <w:rsid w:val="009A276A"/>
    <w:rsid w:val="009A2D78"/>
    <w:rsid w:val="009A518D"/>
    <w:rsid w:val="009B2A6E"/>
    <w:rsid w:val="009B2C1A"/>
    <w:rsid w:val="009B30E5"/>
    <w:rsid w:val="009B3971"/>
    <w:rsid w:val="009B42D3"/>
    <w:rsid w:val="009B4358"/>
    <w:rsid w:val="009B4EF3"/>
    <w:rsid w:val="009B59B9"/>
    <w:rsid w:val="009B63EC"/>
    <w:rsid w:val="009B703B"/>
    <w:rsid w:val="009B7A66"/>
    <w:rsid w:val="009C2EAA"/>
    <w:rsid w:val="009C2EE7"/>
    <w:rsid w:val="009C2F74"/>
    <w:rsid w:val="009C32D7"/>
    <w:rsid w:val="009C65CC"/>
    <w:rsid w:val="009C75EC"/>
    <w:rsid w:val="009D23ED"/>
    <w:rsid w:val="009D46ED"/>
    <w:rsid w:val="009D5C04"/>
    <w:rsid w:val="009D66D6"/>
    <w:rsid w:val="009E08D4"/>
    <w:rsid w:val="009E1370"/>
    <w:rsid w:val="009E158F"/>
    <w:rsid w:val="009E3754"/>
    <w:rsid w:val="009E3844"/>
    <w:rsid w:val="009E50E6"/>
    <w:rsid w:val="009E603E"/>
    <w:rsid w:val="009F1B46"/>
    <w:rsid w:val="009F1BF9"/>
    <w:rsid w:val="009F2173"/>
    <w:rsid w:val="009F23D9"/>
    <w:rsid w:val="009F3AE5"/>
    <w:rsid w:val="009F3BD9"/>
    <w:rsid w:val="009F5705"/>
    <w:rsid w:val="009F6C1A"/>
    <w:rsid w:val="009F71E2"/>
    <w:rsid w:val="009F7295"/>
    <w:rsid w:val="00A00382"/>
    <w:rsid w:val="00A00720"/>
    <w:rsid w:val="00A00B6D"/>
    <w:rsid w:val="00A00C21"/>
    <w:rsid w:val="00A037A9"/>
    <w:rsid w:val="00A03FFA"/>
    <w:rsid w:val="00A05085"/>
    <w:rsid w:val="00A05D81"/>
    <w:rsid w:val="00A06A94"/>
    <w:rsid w:val="00A06E32"/>
    <w:rsid w:val="00A079BC"/>
    <w:rsid w:val="00A1019D"/>
    <w:rsid w:val="00A102FB"/>
    <w:rsid w:val="00A106BA"/>
    <w:rsid w:val="00A11D31"/>
    <w:rsid w:val="00A125E9"/>
    <w:rsid w:val="00A13097"/>
    <w:rsid w:val="00A130FD"/>
    <w:rsid w:val="00A14F63"/>
    <w:rsid w:val="00A150F1"/>
    <w:rsid w:val="00A153AB"/>
    <w:rsid w:val="00A16208"/>
    <w:rsid w:val="00A1667D"/>
    <w:rsid w:val="00A1799B"/>
    <w:rsid w:val="00A17DE0"/>
    <w:rsid w:val="00A22439"/>
    <w:rsid w:val="00A25C30"/>
    <w:rsid w:val="00A2630A"/>
    <w:rsid w:val="00A263B2"/>
    <w:rsid w:val="00A268B3"/>
    <w:rsid w:val="00A270F5"/>
    <w:rsid w:val="00A279D7"/>
    <w:rsid w:val="00A27BC1"/>
    <w:rsid w:val="00A30F58"/>
    <w:rsid w:val="00A30FFC"/>
    <w:rsid w:val="00A31998"/>
    <w:rsid w:val="00A31F55"/>
    <w:rsid w:val="00A3219B"/>
    <w:rsid w:val="00A34563"/>
    <w:rsid w:val="00A35297"/>
    <w:rsid w:val="00A357AB"/>
    <w:rsid w:val="00A35A25"/>
    <w:rsid w:val="00A3601F"/>
    <w:rsid w:val="00A37DD4"/>
    <w:rsid w:val="00A40083"/>
    <w:rsid w:val="00A40497"/>
    <w:rsid w:val="00A405D1"/>
    <w:rsid w:val="00A40C09"/>
    <w:rsid w:val="00A40F46"/>
    <w:rsid w:val="00A41C72"/>
    <w:rsid w:val="00A41E2F"/>
    <w:rsid w:val="00A45A33"/>
    <w:rsid w:val="00A46A6F"/>
    <w:rsid w:val="00A46FC7"/>
    <w:rsid w:val="00A473A3"/>
    <w:rsid w:val="00A476B2"/>
    <w:rsid w:val="00A50DE9"/>
    <w:rsid w:val="00A513A5"/>
    <w:rsid w:val="00A526EF"/>
    <w:rsid w:val="00A52B36"/>
    <w:rsid w:val="00A52B87"/>
    <w:rsid w:val="00A52CA2"/>
    <w:rsid w:val="00A53BC9"/>
    <w:rsid w:val="00A5509B"/>
    <w:rsid w:val="00A5536E"/>
    <w:rsid w:val="00A55C65"/>
    <w:rsid w:val="00A57D3D"/>
    <w:rsid w:val="00A6017A"/>
    <w:rsid w:val="00A6285B"/>
    <w:rsid w:val="00A62BD4"/>
    <w:rsid w:val="00A63040"/>
    <w:rsid w:val="00A64063"/>
    <w:rsid w:val="00A650A4"/>
    <w:rsid w:val="00A65238"/>
    <w:rsid w:val="00A66019"/>
    <w:rsid w:val="00A66467"/>
    <w:rsid w:val="00A669A3"/>
    <w:rsid w:val="00A66A17"/>
    <w:rsid w:val="00A70214"/>
    <w:rsid w:val="00A71570"/>
    <w:rsid w:val="00A71DB9"/>
    <w:rsid w:val="00A72B4D"/>
    <w:rsid w:val="00A73806"/>
    <w:rsid w:val="00A76D3D"/>
    <w:rsid w:val="00A800DD"/>
    <w:rsid w:val="00A8129B"/>
    <w:rsid w:val="00A823C8"/>
    <w:rsid w:val="00A82E06"/>
    <w:rsid w:val="00A83EE4"/>
    <w:rsid w:val="00A85923"/>
    <w:rsid w:val="00A8760C"/>
    <w:rsid w:val="00A879BE"/>
    <w:rsid w:val="00A9090A"/>
    <w:rsid w:val="00A93C90"/>
    <w:rsid w:val="00A95045"/>
    <w:rsid w:val="00A95488"/>
    <w:rsid w:val="00A96B45"/>
    <w:rsid w:val="00AA0012"/>
    <w:rsid w:val="00AA1508"/>
    <w:rsid w:val="00AA3869"/>
    <w:rsid w:val="00AA3FBF"/>
    <w:rsid w:val="00AA4260"/>
    <w:rsid w:val="00AA6B05"/>
    <w:rsid w:val="00AB078F"/>
    <w:rsid w:val="00AB1416"/>
    <w:rsid w:val="00AB26FC"/>
    <w:rsid w:val="00AB3159"/>
    <w:rsid w:val="00AB3DBE"/>
    <w:rsid w:val="00AB41B6"/>
    <w:rsid w:val="00AB4880"/>
    <w:rsid w:val="00AB699C"/>
    <w:rsid w:val="00AB7587"/>
    <w:rsid w:val="00AB7686"/>
    <w:rsid w:val="00AC0385"/>
    <w:rsid w:val="00AC17C1"/>
    <w:rsid w:val="00AC27BE"/>
    <w:rsid w:val="00AC3C1C"/>
    <w:rsid w:val="00AC3F45"/>
    <w:rsid w:val="00AC4C74"/>
    <w:rsid w:val="00AD06B3"/>
    <w:rsid w:val="00AD2A16"/>
    <w:rsid w:val="00AD3B4E"/>
    <w:rsid w:val="00AD3DC3"/>
    <w:rsid w:val="00AD43C9"/>
    <w:rsid w:val="00AD45EE"/>
    <w:rsid w:val="00AD515B"/>
    <w:rsid w:val="00AD5B5A"/>
    <w:rsid w:val="00AD77E1"/>
    <w:rsid w:val="00AE061E"/>
    <w:rsid w:val="00AE15C4"/>
    <w:rsid w:val="00AE364C"/>
    <w:rsid w:val="00AE3B6C"/>
    <w:rsid w:val="00AE61F4"/>
    <w:rsid w:val="00AE6A23"/>
    <w:rsid w:val="00AE7D3C"/>
    <w:rsid w:val="00AF0167"/>
    <w:rsid w:val="00AF070A"/>
    <w:rsid w:val="00AF0D5E"/>
    <w:rsid w:val="00AF2A8F"/>
    <w:rsid w:val="00AF3F0A"/>
    <w:rsid w:val="00AF546F"/>
    <w:rsid w:val="00AF54BA"/>
    <w:rsid w:val="00AF7267"/>
    <w:rsid w:val="00B012F7"/>
    <w:rsid w:val="00B0181C"/>
    <w:rsid w:val="00B01FA3"/>
    <w:rsid w:val="00B02801"/>
    <w:rsid w:val="00B02922"/>
    <w:rsid w:val="00B052F5"/>
    <w:rsid w:val="00B060E0"/>
    <w:rsid w:val="00B067D7"/>
    <w:rsid w:val="00B10741"/>
    <w:rsid w:val="00B12674"/>
    <w:rsid w:val="00B12794"/>
    <w:rsid w:val="00B14320"/>
    <w:rsid w:val="00B152F0"/>
    <w:rsid w:val="00B1567E"/>
    <w:rsid w:val="00B156BA"/>
    <w:rsid w:val="00B179E2"/>
    <w:rsid w:val="00B17D8D"/>
    <w:rsid w:val="00B21900"/>
    <w:rsid w:val="00B2238A"/>
    <w:rsid w:val="00B2248B"/>
    <w:rsid w:val="00B225FC"/>
    <w:rsid w:val="00B2279F"/>
    <w:rsid w:val="00B22DAA"/>
    <w:rsid w:val="00B24763"/>
    <w:rsid w:val="00B24BF8"/>
    <w:rsid w:val="00B24EF3"/>
    <w:rsid w:val="00B25EC7"/>
    <w:rsid w:val="00B2619F"/>
    <w:rsid w:val="00B2661F"/>
    <w:rsid w:val="00B26CF4"/>
    <w:rsid w:val="00B26CFF"/>
    <w:rsid w:val="00B3084F"/>
    <w:rsid w:val="00B31555"/>
    <w:rsid w:val="00B31C89"/>
    <w:rsid w:val="00B31E87"/>
    <w:rsid w:val="00B32022"/>
    <w:rsid w:val="00B332B7"/>
    <w:rsid w:val="00B377F1"/>
    <w:rsid w:val="00B37837"/>
    <w:rsid w:val="00B41C4D"/>
    <w:rsid w:val="00B41E1A"/>
    <w:rsid w:val="00B41E3C"/>
    <w:rsid w:val="00B4219E"/>
    <w:rsid w:val="00B42E39"/>
    <w:rsid w:val="00B43F60"/>
    <w:rsid w:val="00B4488A"/>
    <w:rsid w:val="00B4491C"/>
    <w:rsid w:val="00B477B3"/>
    <w:rsid w:val="00B512D5"/>
    <w:rsid w:val="00B51781"/>
    <w:rsid w:val="00B52378"/>
    <w:rsid w:val="00B54758"/>
    <w:rsid w:val="00B553F5"/>
    <w:rsid w:val="00B556C0"/>
    <w:rsid w:val="00B55F6D"/>
    <w:rsid w:val="00B56EFF"/>
    <w:rsid w:val="00B6136C"/>
    <w:rsid w:val="00B6154A"/>
    <w:rsid w:val="00B621B1"/>
    <w:rsid w:val="00B62AF0"/>
    <w:rsid w:val="00B66014"/>
    <w:rsid w:val="00B67594"/>
    <w:rsid w:val="00B67AA1"/>
    <w:rsid w:val="00B67E74"/>
    <w:rsid w:val="00B7022C"/>
    <w:rsid w:val="00B71E1A"/>
    <w:rsid w:val="00B720D0"/>
    <w:rsid w:val="00B72A58"/>
    <w:rsid w:val="00B73511"/>
    <w:rsid w:val="00B743F4"/>
    <w:rsid w:val="00B774B3"/>
    <w:rsid w:val="00B77647"/>
    <w:rsid w:val="00B80FDA"/>
    <w:rsid w:val="00B81095"/>
    <w:rsid w:val="00B8119C"/>
    <w:rsid w:val="00B844D8"/>
    <w:rsid w:val="00B8571F"/>
    <w:rsid w:val="00B86177"/>
    <w:rsid w:val="00B8655F"/>
    <w:rsid w:val="00B868F0"/>
    <w:rsid w:val="00B869F9"/>
    <w:rsid w:val="00B8794C"/>
    <w:rsid w:val="00B902A0"/>
    <w:rsid w:val="00B90634"/>
    <w:rsid w:val="00B9154F"/>
    <w:rsid w:val="00B92410"/>
    <w:rsid w:val="00B941BF"/>
    <w:rsid w:val="00B96826"/>
    <w:rsid w:val="00B96F06"/>
    <w:rsid w:val="00B97752"/>
    <w:rsid w:val="00BA079B"/>
    <w:rsid w:val="00BA17A0"/>
    <w:rsid w:val="00BA3E2B"/>
    <w:rsid w:val="00BA41B0"/>
    <w:rsid w:val="00BA493A"/>
    <w:rsid w:val="00BA79EC"/>
    <w:rsid w:val="00BB0E83"/>
    <w:rsid w:val="00BB2450"/>
    <w:rsid w:val="00BB27E5"/>
    <w:rsid w:val="00BB4176"/>
    <w:rsid w:val="00BB45E6"/>
    <w:rsid w:val="00BB6CF1"/>
    <w:rsid w:val="00BC0D2A"/>
    <w:rsid w:val="00BC1176"/>
    <w:rsid w:val="00BC1E88"/>
    <w:rsid w:val="00BC38D8"/>
    <w:rsid w:val="00BC5017"/>
    <w:rsid w:val="00BC523C"/>
    <w:rsid w:val="00BC538B"/>
    <w:rsid w:val="00BC61B3"/>
    <w:rsid w:val="00BC6709"/>
    <w:rsid w:val="00BC7ECB"/>
    <w:rsid w:val="00BD0162"/>
    <w:rsid w:val="00BD1B96"/>
    <w:rsid w:val="00BD4493"/>
    <w:rsid w:val="00BD45B9"/>
    <w:rsid w:val="00BD5C9E"/>
    <w:rsid w:val="00BD5CCC"/>
    <w:rsid w:val="00BD6926"/>
    <w:rsid w:val="00BD711E"/>
    <w:rsid w:val="00BD75C8"/>
    <w:rsid w:val="00BD7AD6"/>
    <w:rsid w:val="00BD7D1B"/>
    <w:rsid w:val="00BE08F6"/>
    <w:rsid w:val="00BE0FFA"/>
    <w:rsid w:val="00BE10D5"/>
    <w:rsid w:val="00BE13F8"/>
    <w:rsid w:val="00BE175B"/>
    <w:rsid w:val="00BE3A5B"/>
    <w:rsid w:val="00BE4108"/>
    <w:rsid w:val="00BE42C3"/>
    <w:rsid w:val="00BE58BD"/>
    <w:rsid w:val="00BE7C73"/>
    <w:rsid w:val="00BF1D7B"/>
    <w:rsid w:val="00BF212B"/>
    <w:rsid w:val="00BF2DED"/>
    <w:rsid w:val="00BF3806"/>
    <w:rsid w:val="00BF3CAC"/>
    <w:rsid w:val="00BF3F9E"/>
    <w:rsid w:val="00BF5DE4"/>
    <w:rsid w:val="00BF7531"/>
    <w:rsid w:val="00BF7F2C"/>
    <w:rsid w:val="00C00A50"/>
    <w:rsid w:val="00C024E9"/>
    <w:rsid w:val="00C03EAC"/>
    <w:rsid w:val="00C04075"/>
    <w:rsid w:val="00C0549A"/>
    <w:rsid w:val="00C06678"/>
    <w:rsid w:val="00C0672F"/>
    <w:rsid w:val="00C06990"/>
    <w:rsid w:val="00C07846"/>
    <w:rsid w:val="00C078D4"/>
    <w:rsid w:val="00C07A57"/>
    <w:rsid w:val="00C100B3"/>
    <w:rsid w:val="00C10992"/>
    <w:rsid w:val="00C10A91"/>
    <w:rsid w:val="00C125F5"/>
    <w:rsid w:val="00C13D33"/>
    <w:rsid w:val="00C14722"/>
    <w:rsid w:val="00C15900"/>
    <w:rsid w:val="00C15CD3"/>
    <w:rsid w:val="00C17718"/>
    <w:rsid w:val="00C20BC6"/>
    <w:rsid w:val="00C228DB"/>
    <w:rsid w:val="00C22BF9"/>
    <w:rsid w:val="00C22ECE"/>
    <w:rsid w:val="00C23AA5"/>
    <w:rsid w:val="00C24460"/>
    <w:rsid w:val="00C255E5"/>
    <w:rsid w:val="00C2570D"/>
    <w:rsid w:val="00C25FE5"/>
    <w:rsid w:val="00C26746"/>
    <w:rsid w:val="00C26E67"/>
    <w:rsid w:val="00C303C0"/>
    <w:rsid w:val="00C30FCD"/>
    <w:rsid w:val="00C319E6"/>
    <w:rsid w:val="00C32041"/>
    <w:rsid w:val="00C34171"/>
    <w:rsid w:val="00C3456F"/>
    <w:rsid w:val="00C346AE"/>
    <w:rsid w:val="00C34A05"/>
    <w:rsid w:val="00C34E7D"/>
    <w:rsid w:val="00C351B7"/>
    <w:rsid w:val="00C359CB"/>
    <w:rsid w:val="00C3713D"/>
    <w:rsid w:val="00C41042"/>
    <w:rsid w:val="00C410D0"/>
    <w:rsid w:val="00C410F0"/>
    <w:rsid w:val="00C41B5F"/>
    <w:rsid w:val="00C41CD2"/>
    <w:rsid w:val="00C435AB"/>
    <w:rsid w:val="00C436E1"/>
    <w:rsid w:val="00C4509B"/>
    <w:rsid w:val="00C460F5"/>
    <w:rsid w:val="00C466E3"/>
    <w:rsid w:val="00C46B57"/>
    <w:rsid w:val="00C47176"/>
    <w:rsid w:val="00C47663"/>
    <w:rsid w:val="00C479B9"/>
    <w:rsid w:val="00C50548"/>
    <w:rsid w:val="00C5064F"/>
    <w:rsid w:val="00C52BA8"/>
    <w:rsid w:val="00C53316"/>
    <w:rsid w:val="00C55B48"/>
    <w:rsid w:val="00C5675E"/>
    <w:rsid w:val="00C57611"/>
    <w:rsid w:val="00C57EB8"/>
    <w:rsid w:val="00C6168D"/>
    <w:rsid w:val="00C61848"/>
    <w:rsid w:val="00C62281"/>
    <w:rsid w:val="00C6360C"/>
    <w:rsid w:val="00C63C32"/>
    <w:rsid w:val="00C640E7"/>
    <w:rsid w:val="00C65288"/>
    <w:rsid w:val="00C658BC"/>
    <w:rsid w:val="00C66020"/>
    <w:rsid w:val="00C66B46"/>
    <w:rsid w:val="00C72137"/>
    <w:rsid w:val="00C72229"/>
    <w:rsid w:val="00C72BC0"/>
    <w:rsid w:val="00C753C1"/>
    <w:rsid w:val="00C75666"/>
    <w:rsid w:val="00C75954"/>
    <w:rsid w:val="00C77834"/>
    <w:rsid w:val="00C77F9A"/>
    <w:rsid w:val="00C819A9"/>
    <w:rsid w:val="00C82485"/>
    <w:rsid w:val="00C82B4A"/>
    <w:rsid w:val="00C830BC"/>
    <w:rsid w:val="00C84254"/>
    <w:rsid w:val="00C85BCE"/>
    <w:rsid w:val="00C90550"/>
    <w:rsid w:val="00C9078C"/>
    <w:rsid w:val="00C917D3"/>
    <w:rsid w:val="00C91B90"/>
    <w:rsid w:val="00C930FE"/>
    <w:rsid w:val="00C9377A"/>
    <w:rsid w:val="00C94BD9"/>
    <w:rsid w:val="00C94C9C"/>
    <w:rsid w:val="00C955EA"/>
    <w:rsid w:val="00C95C26"/>
    <w:rsid w:val="00C9629E"/>
    <w:rsid w:val="00C96371"/>
    <w:rsid w:val="00C96AD7"/>
    <w:rsid w:val="00C96BE0"/>
    <w:rsid w:val="00CA0B98"/>
    <w:rsid w:val="00CA0BB3"/>
    <w:rsid w:val="00CA1082"/>
    <w:rsid w:val="00CA22FF"/>
    <w:rsid w:val="00CA3234"/>
    <w:rsid w:val="00CA5B82"/>
    <w:rsid w:val="00CA7112"/>
    <w:rsid w:val="00CB3771"/>
    <w:rsid w:val="00CB3959"/>
    <w:rsid w:val="00CB3F35"/>
    <w:rsid w:val="00CB4E5C"/>
    <w:rsid w:val="00CB4EA5"/>
    <w:rsid w:val="00CB500B"/>
    <w:rsid w:val="00CB67DC"/>
    <w:rsid w:val="00CC0A6A"/>
    <w:rsid w:val="00CC184D"/>
    <w:rsid w:val="00CC30C9"/>
    <w:rsid w:val="00CC30FA"/>
    <w:rsid w:val="00CC47C8"/>
    <w:rsid w:val="00CC4835"/>
    <w:rsid w:val="00CC56DD"/>
    <w:rsid w:val="00CC5C00"/>
    <w:rsid w:val="00CD04A4"/>
    <w:rsid w:val="00CD19BE"/>
    <w:rsid w:val="00CD1DF9"/>
    <w:rsid w:val="00CD329A"/>
    <w:rsid w:val="00CD399C"/>
    <w:rsid w:val="00CE054E"/>
    <w:rsid w:val="00CE07CA"/>
    <w:rsid w:val="00CE21BF"/>
    <w:rsid w:val="00CE3699"/>
    <w:rsid w:val="00CE4754"/>
    <w:rsid w:val="00CE568D"/>
    <w:rsid w:val="00CE584A"/>
    <w:rsid w:val="00CE5B12"/>
    <w:rsid w:val="00CE6D7D"/>
    <w:rsid w:val="00CF14F1"/>
    <w:rsid w:val="00CF161A"/>
    <w:rsid w:val="00CF6CFB"/>
    <w:rsid w:val="00CF6E4F"/>
    <w:rsid w:val="00CF6FCF"/>
    <w:rsid w:val="00CF769D"/>
    <w:rsid w:val="00CF7CDF"/>
    <w:rsid w:val="00D001A8"/>
    <w:rsid w:val="00D0053B"/>
    <w:rsid w:val="00D01339"/>
    <w:rsid w:val="00D017A0"/>
    <w:rsid w:val="00D03E3C"/>
    <w:rsid w:val="00D04E68"/>
    <w:rsid w:val="00D06B0C"/>
    <w:rsid w:val="00D06D92"/>
    <w:rsid w:val="00D10384"/>
    <w:rsid w:val="00D11847"/>
    <w:rsid w:val="00D12013"/>
    <w:rsid w:val="00D12175"/>
    <w:rsid w:val="00D127CD"/>
    <w:rsid w:val="00D1373D"/>
    <w:rsid w:val="00D14882"/>
    <w:rsid w:val="00D17138"/>
    <w:rsid w:val="00D204E1"/>
    <w:rsid w:val="00D23DEE"/>
    <w:rsid w:val="00D24300"/>
    <w:rsid w:val="00D25920"/>
    <w:rsid w:val="00D274C7"/>
    <w:rsid w:val="00D300E0"/>
    <w:rsid w:val="00D30105"/>
    <w:rsid w:val="00D306EE"/>
    <w:rsid w:val="00D3204A"/>
    <w:rsid w:val="00D337C7"/>
    <w:rsid w:val="00D340F9"/>
    <w:rsid w:val="00D348FC"/>
    <w:rsid w:val="00D34A46"/>
    <w:rsid w:val="00D34DB8"/>
    <w:rsid w:val="00D35069"/>
    <w:rsid w:val="00D35B28"/>
    <w:rsid w:val="00D35F5B"/>
    <w:rsid w:val="00D37C06"/>
    <w:rsid w:val="00D37C28"/>
    <w:rsid w:val="00D4041C"/>
    <w:rsid w:val="00D41299"/>
    <w:rsid w:val="00D41E74"/>
    <w:rsid w:val="00D42854"/>
    <w:rsid w:val="00D42914"/>
    <w:rsid w:val="00D430A9"/>
    <w:rsid w:val="00D44ABC"/>
    <w:rsid w:val="00D45DFB"/>
    <w:rsid w:val="00D47D95"/>
    <w:rsid w:val="00D5196C"/>
    <w:rsid w:val="00D5208A"/>
    <w:rsid w:val="00D52A03"/>
    <w:rsid w:val="00D544AF"/>
    <w:rsid w:val="00D5473A"/>
    <w:rsid w:val="00D5500B"/>
    <w:rsid w:val="00D55E9F"/>
    <w:rsid w:val="00D56F46"/>
    <w:rsid w:val="00D6004E"/>
    <w:rsid w:val="00D60C39"/>
    <w:rsid w:val="00D628BE"/>
    <w:rsid w:val="00D62F22"/>
    <w:rsid w:val="00D6649E"/>
    <w:rsid w:val="00D672CC"/>
    <w:rsid w:val="00D67D7C"/>
    <w:rsid w:val="00D704F7"/>
    <w:rsid w:val="00D71DB1"/>
    <w:rsid w:val="00D73736"/>
    <w:rsid w:val="00D73DE5"/>
    <w:rsid w:val="00D74F4B"/>
    <w:rsid w:val="00D758D4"/>
    <w:rsid w:val="00D75E06"/>
    <w:rsid w:val="00D75FC3"/>
    <w:rsid w:val="00D770DC"/>
    <w:rsid w:val="00D77ADE"/>
    <w:rsid w:val="00D805D1"/>
    <w:rsid w:val="00D819ED"/>
    <w:rsid w:val="00D82B5C"/>
    <w:rsid w:val="00D82C7E"/>
    <w:rsid w:val="00D84C33"/>
    <w:rsid w:val="00D84E7C"/>
    <w:rsid w:val="00D8664E"/>
    <w:rsid w:val="00D86DD1"/>
    <w:rsid w:val="00D90541"/>
    <w:rsid w:val="00D90EA7"/>
    <w:rsid w:val="00D91664"/>
    <w:rsid w:val="00D920B5"/>
    <w:rsid w:val="00D9298C"/>
    <w:rsid w:val="00D92F86"/>
    <w:rsid w:val="00D93B87"/>
    <w:rsid w:val="00D9654C"/>
    <w:rsid w:val="00D97125"/>
    <w:rsid w:val="00D974F1"/>
    <w:rsid w:val="00DA0963"/>
    <w:rsid w:val="00DA188F"/>
    <w:rsid w:val="00DA4A4D"/>
    <w:rsid w:val="00DA56D8"/>
    <w:rsid w:val="00DA6EA8"/>
    <w:rsid w:val="00DA71F2"/>
    <w:rsid w:val="00DA7C24"/>
    <w:rsid w:val="00DB08A2"/>
    <w:rsid w:val="00DB6665"/>
    <w:rsid w:val="00DB7187"/>
    <w:rsid w:val="00DC00DD"/>
    <w:rsid w:val="00DC017A"/>
    <w:rsid w:val="00DC021E"/>
    <w:rsid w:val="00DC102E"/>
    <w:rsid w:val="00DC11AF"/>
    <w:rsid w:val="00DC1506"/>
    <w:rsid w:val="00DC1B60"/>
    <w:rsid w:val="00DC1D3D"/>
    <w:rsid w:val="00DC24B5"/>
    <w:rsid w:val="00DC269E"/>
    <w:rsid w:val="00DC2BE9"/>
    <w:rsid w:val="00DC2E8B"/>
    <w:rsid w:val="00DC454E"/>
    <w:rsid w:val="00DC4BE1"/>
    <w:rsid w:val="00DC6025"/>
    <w:rsid w:val="00DC7B6B"/>
    <w:rsid w:val="00DC7C83"/>
    <w:rsid w:val="00DD073D"/>
    <w:rsid w:val="00DD0EA6"/>
    <w:rsid w:val="00DD46B5"/>
    <w:rsid w:val="00DD470F"/>
    <w:rsid w:val="00DD5A5A"/>
    <w:rsid w:val="00DD6ED8"/>
    <w:rsid w:val="00DD7389"/>
    <w:rsid w:val="00DD78EA"/>
    <w:rsid w:val="00DD7C3E"/>
    <w:rsid w:val="00DE0380"/>
    <w:rsid w:val="00DE1225"/>
    <w:rsid w:val="00DE16A6"/>
    <w:rsid w:val="00DE1B33"/>
    <w:rsid w:val="00DE1E1D"/>
    <w:rsid w:val="00DE4724"/>
    <w:rsid w:val="00DE77A7"/>
    <w:rsid w:val="00DF3D90"/>
    <w:rsid w:val="00DF3EF3"/>
    <w:rsid w:val="00DF3FFF"/>
    <w:rsid w:val="00DF4387"/>
    <w:rsid w:val="00DF51F7"/>
    <w:rsid w:val="00DF7727"/>
    <w:rsid w:val="00E00C7A"/>
    <w:rsid w:val="00E014F7"/>
    <w:rsid w:val="00E01DFC"/>
    <w:rsid w:val="00E02A0D"/>
    <w:rsid w:val="00E03A84"/>
    <w:rsid w:val="00E050CB"/>
    <w:rsid w:val="00E0555A"/>
    <w:rsid w:val="00E05C8B"/>
    <w:rsid w:val="00E07F36"/>
    <w:rsid w:val="00E13C2D"/>
    <w:rsid w:val="00E1490A"/>
    <w:rsid w:val="00E16443"/>
    <w:rsid w:val="00E16FEE"/>
    <w:rsid w:val="00E200D9"/>
    <w:rsid w:val="00E212DA"/>
    <w:rsid w:val="00E2178A"/>
    <w:rsid w:val="00E232F9"/>
    <w:rsid w:val="00E2345F"/>
    <w:rsid w:val="00E255E8"/>
    <w:rsid w:val="00E26EAF"/>
    <w:rsid w:val="00E31DA0"/>
    <w:rsid w:val="00E31FC4"/>
    <w:rsid w:val="00E320BB"/>
    <w:rsid w:val="00E330F7"/>
    <w:rsid w:val="00E336D5"/>
    <w:rsid w:val="00E35111"/>
    <w:rsid w:val="00E37530"/>
    <w:rsid w:val="00E37642"/>
    <w:rsid w:val="00E40B3A"/>
    <w:rsid w:val="00E4116A"/>
    <w:rsid w:val="00E41AC4"/>
    <w:rsid w:val="00E437EC"/>
    <w:rsid w:val="00E43D1E"/>
    <w:rsid w:val="00E440AA"/>
    <w:rsid w:val="00E4457A"/>
    <w:rsid w:val="00E44A73"/>
    <w:rsid w:val="00E44F71"/>
    <w:rsid w:val="00E47A22"/>
    <w:rsid w:val="00E47A9B"/>
    <w:rsid w:val="00E516BC"/>
    <w:rsid w:val="00E51ADC"/>
    <w:rsid w:val="00E532E4"/>
    <w:rsid w:val="00E534C9"/>
    <w:rsid w:val="00E537F2"/>
    <w:rsid w:val="00E54B85"/>
    <w:rsid w:val="00E555A9"/>
    <w:rsid w:val="00E555D4"/>
    <w:rsid w:val="00E565E2"/>
    <w:rsid w:val="00E5750E"/>
    <w:rsid w:val="00E57779"/>
    <w:rsid w:val="00E60B1A"/>
    <w:rsid w:val="00E61671"/>
    <w:rsid w:val="00E6220D"/>
    <w:rsid w:val="00E65878"/>
    <w:rsid w:val="00E661A6"/>
    <w:rsid w:val="00E67AE4"/>
    <w:rsid w:val="00E67F2E"/>
    <w:rsid w:val="00E67F8C"/>
    <w:rsid w:val="00E70434"/>
    <w:rsid w:val="00E72B35"/>
    <w:rsid w:val="00E72B4B"/>
    <w:rsid w:val="00E72DA5"/>
    <w:rsid w:val="00E72DCD"/>
    <w:rsid w:val="00E75123"/>
    <w:rsid w:val="00E7695C"/>
    <w:rsid w:val="00E76BE8"/>
    <w:rsid w:val="00E77181"/>
    <w:rsid w:val="00E82040"/>
    <w:rsid w:val="00E821FD"/>
    <w:rsid w:val="00E824D6"/>
    <w:rsid w:val="00E83D4D"/>
    <w:rsid w:val="00E84221"/>
    <w:rsid w:val="00E906AB"/>
    <w:rsid w:val="00E92148"/>
    <w:rsid w:val="00E923F5"/>
    <w:rsid w:val="00E92808"/>
    <w:rsid w:val="00E93ECD"/>
    <w:rsid w:val="00E945F6"/>
    <w:rsid w:val="00E959C9"/>
    <w:rsid w:val="00E95F9D"/>
    <w:rsid w:val="00EA0A95"/>
    <w:rsid w:val="00EA0C50"/>
    <w:rsid w:val="00EA1BD4"/>
    <w:rsid w:val="00EA2153"/>
    <w:rsid w:val="00EA24F6"/>
    <w:rsid w:val="00EA2CAC"/>
    <w:rsid w:val="00EA3B6E"/>
    <w:rsid w:val="00EA3FAF"/>
    <w:rsid w:val="00EA48D1"/>
    <w:rsid w:val="00EA6227"/>
    <w:rsid w:val="00EA7E58"/>
    <w:rsid w:val="00EB3911"/>
    <w:rsid w:val="00EB3AE5"/>
    <w:rsid w:val="00EB43DE"/>
    <w:rsid w:val="00EB4BC4"/>
    <w:rsid w:val="00EB58AB"/>
    <w:rsid w:val="00EB5A2F"/>
    <w:rsid w:val="00EB5A5D"/>
    <w:rsid w:val="00EB640F"/>
    <w:rsid w:val="00EB6738"/>
    <w:rsid w:val="00EB7E8E"/>
    <w:rsid w:val="00EC0E80"/>
    <w:rsid w:val="00EC1A7A"/>
    <w:rsid w:val="00EC29A4"/>
    <w:rsid w:val="00EC3A24"/>
    <w:rsid w:val="00EC4E38"/>
    <w:rsid w:val="00EC541F"/>
    <w:rsid w:val="00EC5AA1"/>
    <w:rsid w:val="00EC6620"/>
    <w:rsid w:val="00ED21EB"/>
    <w:rsid w:val="00ED35BE"/>
    <w:rsid w:val="00ED40B5"/>
    <w:rsid w:val="00ED6CB7"/>
    <w:rsid w:val="00ED7E54"/>
    <w:rsid w:val="00ED7E78"/>
    <w:rsid w:val="00EE01C1"/>
    <w:rsid w:val="00EE0BEA"/>
    <w:rsid w:val="00EE0CFD"/>
    <w:rsid w:val="00EE13BE"/>
    <w:rsid w:val="00EE1BF8"/>
    <w:rsid w:val="00EE1FB7"/>
    <w:rsid w:val="00EE2189"/>
    <w:rsid w:val="00EE39BD"/>
    <w:rsid w:val="00EE4349"/>
    <w:rsid w:val="00EE48F6"/>
    <w:rsid w:val="00EE5146"/>
    <w:rsid w:val="00EE6DEE"/>
    <w:rsid w:val="00EE71CF"/>
    <w:rsid w:val="00EE725B"/>
    <w:rsid w:val="00EF35AE"/>
    <w:rsid w:val="00EF479E"/>
    <w:rsid w:val="00EF63F9"/>
    <w:rsid w:val="00F00335"/>
    <w:rsid w:val="00F039FD"/>
    <w:rsid w:val="00F041D8"/>
    <w:rsid w:val="00F053E8"/>
    <w:rsid w:val="00F063AD"/>
    <w:rsid w:val="00F06E67"/>
    <w:rsid w:val="00F07B81"/>
    <w:rsid w:val="00F109C6"/>
    <w:rsid w:val="00F10AE5"/>
    <w:rsid w:val="00F10F90"/>
    <w:rsid w:val="00F120B5"/>
    <w:rsid w:val="00F13D0A"/>
    <w:rsid w:val="00F14077"/>
    <w:rsid w:val="00F15EB4"/>
    <w:rsid w:val="00F16F66"/>
    <w:rsid w:val="00F20391"/>
    <w:rsid w:val="00F204B3"/>
    <w:rsid w:val="00F21DB5"/>
    <w:rsid w:val="00F235F0"/>
    <w:rsid w:val="00F24B2A"/>
    <w:rsid w:val="00F26E1E"/>
    <w:rsid w:val="00F30652"/>
    <w:rsid w:val="00F30AA7"/>
    <w:rsid w:val="00F34D8B"/>
    <w:rsid w:val="00F44332"/>
    <w:rsid w:val="00F457DF"/>
    <w:rsid w:val="00F46ED3"/>
    <w:rsid w:val="00F4785B"/>
    <w:rsid w:val="00F47A17"/>
    <w:rsid w:val="00F51CFD"/>
    <w:rsid w:val="00F52022"/>
    <w:rsid w:val="00F52E39"/>
    <w:rsid w:val="00F52F75"/>
    <w:rsid w:val="00F53EB4"/>
    <w:rsid w:val="00F5701C"/>
    <w:rsid w:val="00F609CE"/>
    <w:rsid w:val="00F62862"/>
    <w:rsid w:val="00F62A59"/>
    <w:rsid w:val="00F6316F"/>
    <w:rsid w:val="00F632F7"/>
    <w:rsid w:val="00F637D5"/>
    <w:rsid w:val="00F640EA"/>
    <w:rsid w:val="00F64738"/>
    <w:rsid w:val="00F64F51"/>
    <w:rsid w:val="00F64F6A"/>
    <w:rsid w:val="00F66F7C"/>
    <w:rsid w:val="00F7160D"/>
    <w:rsid w:val="00F71B4C"/>
    <w:rsid w:val="00F729C7"/>
    <w:rsid w:val="00F749FB"/>
    <w:rsid w:val="00F80EF8"/>
    <w:rsid w:val="00F815BA"/>
    <w:rsid w:val="00F83ACD"/>
    <w:rsid w:val="00F849F2"/>
    <w:rsid w:val="00F84FCD"/>
    <w:rsid w:val="00F8674A"/>
    <w:rsid w:val="00F87753"/>
    <w:rsid w:val="00F90160"/>
    <w:rsid w:val="00F905AE"/>
    <w:rsid w:val="00F90CBD"/>
    <w:rsid w:val="00F931FD"/>
    <w:rsid w:val="00F93250"/>
    <w:rsid w:val="00F93B5C"/>
    <w:rsid w:val="00F94FF7"/>
    <w:rsid w:val="00F9726D"/>
    <w:rsid w:val="00F97B06"/>
    <w:rsid w:val="00F97EC3"/>
    <w:rsid w:val="00FA13D3"/>
    <w:rsid w:val="00FA1DDD"/>
    <w:rsid w:val="00FA2723"/>
    <w:rsid w:val="00FA3520"/>
    <w:rsid w:val="00FA35D7"/>
    <w:rsid w:val="00FA5402"/>
    <w:rsid w:val="00FA5873"/>
    <w:rsid w:val="00FA6F37"/>
    <w:rsid w:val="00FA70FE"/>
    <w:rsid w:val="00FA77A9"/>
    <w:rsid w:val="00FA7D7E"/>
    <w:rsid w:val="00FA7F1F"/>
    <w:rsid w:val="00FB1863"/>
    <w:rsid w:val="00FB1F87"/>
    <w:rsid w:val="00FB28FE"/>
    <w:rsid w:val="00FB4DF5"/>
    <w:rsid w:val="00FB5315"/>
    <w:rsid w:val="00FB752A"/>
    <w:rsid w:val="00FC230F"/>
    <w:rsid w:val="00FC239F"/>
    <w:rsid w:val="00FC30D7"/>
    <w:rsid w:val="00FC4240"/>
    <w:rsid w:val="00FC4BEC"/>
    <w:rsid w:val="00FC5627"/>
    <w:rsid w:val="00FC696F"/>
    <w:rsid w:val="00FD0945"/>
    <w:rsid w:val="00FD0E0B"/>
    <w:rsid w:val="00FD12AD"/>
    <w:rsid w:val="00FD24B4"/>
    <w:rsid w:val="00FD68A0"/>
    <w:rsid w:val="00FD6FCB"/>
    <w:rsid w:val="00FE0A75"/>
    <w:rsid w:val="00FE2C6F"/>
    <w:rsid w:val="00FE3078"/>
    <w:rsid w:val="00FE314F"/>
    <w:rsid w:val="00FE4632"/>
    <w:rsid w:val="00FE47A5"/>
    <w:rsid w:val="00FE5C1C"/>
    <w:rsid w:val="00FE7F30"/>
    <w:rsid w:val="00FF0031"/>
    <w:rsid w:val="00FF42B6"/>
    <w:rsid w:val="00FF4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9A8C7-8656-48A6-B590-AC7E6A22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192"/>
    <w:pPr>
      <w:spacing w:after="0"/>
      <w:ind w:firstLine="709"/>
      <w:jc w:val="both"/>
    </w:pPr>
    <w:rPr>
      <w:rFonts w:ascii="Arial" w:eastAsia="Times New Roman" w:hAnsi="Arial" w:cs="Times New Roman"/>
      <w:sz w:val="28"/>
      <w:szCs w:val="24"/>
      <w:lang w:eastAsia="es-MX"/>
    </w:rPr>
  </w:style>
  <w:style w:type="paragraph" w:styleId="Ttulo1">
    <w:name w:val="heading 1"/>
    <w:basedOn w:val="Normal"/>
    <w:next w:val="Normal"/>
    <w:link w:val="Ttulo1Car"/>
    <w:uiPriority w:val="9"/>
    <w:qFormat/>
    <w:rsid w:val="00D017A0"/>
    <w:pPr>
      <w:keepNext/>
      <w:ind w:left="2268"/>
      <w:outlineLvl w:val="0"/>
    </w:pPr>
    <w:rPr>
      <w:b/>
      <w:sz w:val="30"/>
      <w:szCs w:val="20"/>
    </w:rPr>
  </w:style>
  <w:style w:type="paragraph" w:styleId="Ttulo2">
    <w:name w:val="heading 2"/>
    <w:basedOn w:val="Normal"/>
    <w:next w:val="Normal"/>
    <w:link w:val="Ttulo2Car"/>
    <w:uiPriority w:val="9"/>
    <w:unhideWhenUsed/>
    <w:qFormat/>
    <w:rsid w:val="000E0FE9"/>
    <w:pPr>
      <w:keepNext/>
      <w:keepLines/>
      <w:outlineLvl w:val="1"/>
    </w:pPr>
    <w:rPr>
      <w:b/>
      <w:bCs/>
      <w:szCs w:val="26"/>
      <w:lang w:val="es-ES" w:eastAsia="es-ES"/>
    </w:rPr>
  </w:style>
  <w:style w:type="paragraph" w:styleId="Ttulo3">
    <w:name w:val="heading 3"/>
    <w:basedOn w:val="Normal"/>
    <w:next w:val="Normal"/>
    <w:link w:val="Ttulo3Car"/>
    <w:uiPriority w:val="9"/>
    <w:unhideWhenUsed/>
    <w:qFormat/>
    <w:rsid w:val="00500326"/>
    <w:pPr>
      <w:keepNext/>
      <w:keepLines/>
      <w:ind w:firstLine="0"/>
      <w:outlineLvl w:val="2"/>
    </w:pPr>
    <w:rPr>
      <w:rFonts w:eastAsiaTheme="majorEastAsia" w:cstheme="majorBidi"/>
      <w:b/>
    </w:rPr>
  </w:style>
  <w:style w:type="paragraph" w:styleId="Ttulo4">
    <w:name w:val="heading 4"/>
    <w:basedOn w:val="Normal"/>
    <w:next w:val="Normal"/>
    <w:link w:val="Ttulo4Car"/>
    <w:uiPriority w:val="9"/>
    <w:unhideWhenUsed/>
    <w:qFormat/>
    <w:rsid w:val="00654E15"/>
    <w:pPr>
      <w:keepNext/>
      <w:keepLines/>
      <w:outlineLvl w:val="3"/>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17A0"/>
    <w:rPr>
      <w:rFonts w:ascii="Arial" w:eastAsia="Times New Roman" w:hAnsi="Arial" w:cs="Times New Roman"/>
      <w:b/>
      <w:sz w:val="30"/>
      <w:szCs w:val="20"/>
      <w:lang w:eastAsia="es-MX"/>
    </w:rPr>
  </w:style>
  <w:style w:type="character" w:customStyle="1" w:styleId="Ttulo2Car">
    <w:name w:val="Título 2 Car"/>
    <w:basedOn w:val="Fuentedeprrafopredeter"/>
    <w:link w:val="Ttulo2"/>
    <w:uiPriority w:val="9"/>
    <w:rsid w:val="000E0FE9"/>
    <w:rPr>
      <w:rFonts w:ascii="Arial" w:eastAsia="Times New Roman" w:hAnsi="Arial" w:cs="Times New Roman"/>
      <w:b/>
      <w:bCs/>
      <w:sz w:val="28"/>
      <w:szCs w:val="26"/>
      <w:lang w:val="es-ES" w:eastAsia="es-ES"/>
    </w:rPr>
  </w:style>
  <w:style w:type="paragraph" w:customStyle="1" w:styleId="corte5transcripcion">
    <w:name w:val="corte5 transcripcion"/>
    <w:basedOn w:val="Normal"/>
    <w:link w:val="corte5transcripcionCar"/>
    <w:qFormat/>
    <w:rsid w:val="008C7BA1"/>
    <w:pPr>
      <w:spacing w:line="240" w:lineRule="auto"/>
      <w:ind w:left="709" w:right="709" w:firstLine="0"/>
    </w:pPr>
    <w:rPr>
      <w:sz w:val="24"/>
    </w:rPr>
  </w:style>
  <w:style w:type="character" w:customStyle="1" w:styleId="corte5transcripcionCar">
    <w:name w:val="corte5 transcripcion Car"/>
    <w:link w:val="corte5transcripcion"/>
    <w:locked/>
    <w:rsid w:val="008C7BA1"/>
    <w:rPr>
      <w:rFonts w:ascii="Arial" w:eastAsia="Times New Roman" w:hAnsi="Arial" w:cs="Times New Roman"/>
      <w:sz w:val="24"/>
      <w:szCs w:val="24"/>
      <w:lang w:eastAsia="es-MX"/>
    </w:rPr>
  </w:style>
  <w:style w:type="paragraph" w:customStyle="1" w:styleId="corte2ponente">
    <w:name w:val="corte2 ponente"/>
    <w:basedOn w:val="Normal"/>
    <w:link w:val="corte2ponenteCar"/>
    <w:uiPriority w:val="99"/>
    <w:qFormat/>
    <w:rsid w:val="00D017A0"/>
    <w:rPr>
      <w:b/>
      <w:caps/>
      <w:sz w:val="30"/>
      <w:szCs w:val="20"/>
    </w:rPr>
  </w:style>
  <w:style w:type="paragraph" w:customStyle="1" w:styleId="corte3centro">
    <w:name w:val="corte3 centro"/>
    <w:basedOn w:val="Normal"/>
    <w:link w:val="corte3centroCar"/>
    <w:qFormat/>
    <w:rsid w:val="00D017A0"/>
    <w:pPr>
      <w:spacing w:line="360" w:lineRule="auto"/>
      <w:jc w:val="center"/>
    </w:pPr>
    <w:rPr>
      <w:b/>
      <w:sz w:val="30"/>
      <w:szCs w:val="20"/>
    </w:rPr>
  </w:style>
  <w:style w:type="paragraph" w:customStyle="1" w:styleId="corte4fondo">
    <w:name w:val="corte4 fondo"/>
    <w:basedOn w:val="Normal"/>
    <w:link w:val="corte4fondoCar1"/>
    <w:qFormat/>
    <w:rsid w:val="00D017A0"/>
    <w:pPr>
      <w:spacing w:line="360" w:lineRule="auto"/>
    </w:pPr>
    <w:rPr>
      <w:sz w:val="30"/>
    </w:rPr>
  </w:style>
  <w:style w:type="character" w:customStyle="1" w:styleId="corte4fondoCar1">
    <w:name w:val="corte4 fondo Car1"/>
    <w:link w:val="corte4fondo"/>
    <w:locked/>
    <w:rsid w:val="00D017A0"/>
    <w:rPr>
      <w:rFonts w:ascii="Arial" w:eastAsia="Times New Roman" w:hAnsi="Arial" w:cs="Times New Roman"/>
      <w:sz w:val="30"/>
      <w:szCs w:val="24"/>
      <w:lang w:eastAsia="es-MX"/>
    </w:rPr>
  </w:style>
  <w:style w:type="paragraph" w:styleId="Sangradetextonormal">
    <w:name w:val="Body Text Indent"/>
    <w:basedOn w:val="Normal"/>
    <w:link w:val="SangradetextonormalCar"/>
    <w:uiPriority w:val="99"/>
    <w:rsid w:val="00D017A0"/>
    <w:pPr>
      <w:ind w:left="2268"/>
    </w:pPr>
    <w:rPr>
      <w:b/>
      <w:i/>
      <w:sz w:val="30"/>
      <w:szCs w:val="20"/>
    </w:rPr>
  </w:style>
  <w:style w:type="character" w:customStyle="1" w:styleId="SangradetextonormalCar">
    <w:name w:val="Sangría de texto normal Car"/>
    <w:basedOn w:val="Fuentedeprrafopredeter"/>
    <w:link w:val="Sangradetextonormal"/>
    <w:uiPriority w:val="99"/>
    <w:rsid w:val="00D017A0"/>
    <w:rPr>
      <w:rFonts w:ascii="Arial" w:eastAsia="Times New Roman" w:hAnsi="Arial" w:cs="Times New Roman"/>
      <w:b/>
      <w:i/>
      <w:sz w:val="30"/>
      <w:szCs w:val="20"/>
      <w:lang w:eastAsia="es-MX"/>
    </w:rPr>
  </w:style>
  <w:style w:type="character" w:customStyle="1" w:styleId="corte4fondoCarCar">
    <w:name w:val="corte4 fondo Car Car"/>
    <w:link w:val="corte4fondoCar"/>
    <w:uiPriority w:val="99"/>
    <w:locked/>
    <w:rsid w:val="00D017A0"/>
    <w:rPr>
      <w:rFonts w:ascii="Arial" w:hAnsi="Arial" w:cs="Times New Roman"/>
      <w:sz w:val="24"/>
      <w:szCs w:val="24"/>
      <w:lang w:val="es-ES_tradnl"/>
    </w:rPr>
  </w:style>
  <w:style w:type="paragraph" w:customStyle="1" w:styleId="corte4fondoCar">
    <w:name w:val="corte4 fondo Car"/>
    <w:basedOn w:val="Normal"/>
    <w:link w:val="corte4fondoCarCar"/>
    <w:uiPriority w:val="99"/>
    <w:rsid w:val="00D017A0"/>
    <w:pPr>
      <w:spacing w:line="360" w:lineRule="auto"/>
    </w:pPr>
    <w:rPr>
      <w:rFonts w:eastAsiaTheme="minorHAnsi"/>
      <w:lang w:val="es-ES_tradnl" w:eastAsia="en-US"/>
    </w:rPr>
  </w:style>
  <w:style w:type="paragraph" w:styleId="Piedepgina">
    <w:name w:val="footer"/>
    <w:basedOn w:val="Normal"/>
    <w:link w:val="PiedepginaCar"/>
    <w:uiPriority w:val="99"/>
    <w:rsid w:val="00D017A0"/>
    <w:pPr>
      <w:tabs>
        <w:tab w:val="center" w:pos="4419"/>
        <w:tab w:val="right" w:pos="8838"/>
      </w:tabs>
    </w:pPr>
  </w:style>
  <w:style w:type="character" w:customStyle="1" w:styleId="PiedepginaCar">
    <w:name w:val="Pie de página Car"/>
    <w:basedOn w:val="Fuentedeprrafopredeter"/>
    <w:link w:val="Piedepgina"/>
    <w:uiPriority w:val="99"/>
    <w:rsid w:val="00D017A0"/>
    <w:rPr>
      <w:rFonts w:ascii="Times New Roman" w:eastAsia="Times New Roman" w:hAnsi="Times New Roman" w:cs="Times New Roman"/>
      <w:sz w:val="24"/>
      <w:szCs w:val="24"/>
      <w:lang w:eastAsia="es-MX"/>
    </w:rPr>
  </w:style>
  <w:style w:type="character" w:styleId="Nmerodepgina">
    <w:name w:val="page number"/>
    <w:rsid w:val="00D017A0"/>
    <w:rPr>
      <w:rFonts w:cs="Times New Roman"/>
    </w:rPr>
  </w:style>
  <w:style w:type="paragraph" w:styleId="Encabezado">
    <w:name w:val="header"/>
    <w:basedOn w:val="Normal"/>
    <w:link w:val="EncabezadoCar"/>
    <w:uiPriority w:val="99"/>
    <w:rsid w:val="00D017A0"/>
    <w:pPr>
      <w:tabs>
        <w:tab w:val="center" w:pos="4419"/>
        <w:tab w:val="right" w:pos="8838"/>
      </w:tabs>
    </w:pPr>
  </w:style>
  <w:style w:type="character" w:customStyle="1" w:styleId="EncabezadoCar">
    <w:name w:val="Encabezado Car"/>
    <w:basedOn w:val="Fuentedeprrafopredeter"/>
    <w:link w:val="Encabezado"/>
    <w:uiPriority w:val="99"/>
    <w:rsid w:val="00D017A0"/>
    <w:rPr>
      <w:rFonts w:ascii="Times New Roman" w:eastAsia="Times New Roman" w:hAnsi="Times New Roman" w:cs="Times New Roman"/>
      <w:sz w:val="24"/>
      <w:szCs w:val="24"/>
      <w:lang w:eastAsia="es-MX"/>
    </w:rPr>
  </w:style>
  <w:style w:type="paragraph" w:customStyle="1" w:styleId="TEXTONORMAL">
    <w:name w:val="TEXTO NORMAL"/>
    <w:basedOn w:val="Normal"/>
    <w:uiPriority w:val="99"/>
    <w:rsid w:val="00D017A0"/>
    <w:pPr>
      <w:spacing w:line="360" w:lineRule="auto"/>
    </w:pPr>
    <w:rPr>
      <w:rFonts w:cs="Arial"/>
      <w:szCs w:val="28"/>
      <w:lang w:eastAsia="es-ES"/>
    </w:rPr>
  </w:style>
  <w:style w:type="paragraph" w:customStyle="1" w:styleId="corte1datos">
    <w:name w:val="corte1 datos"/>
    <w:basedOn w:val="Normal"/>
    <w:uiPriority w:val="99"/>
    <w:rsid w:val="00D017A0"/>
    <w:pPr>
      <w:ind w:left="2552"/>
    </w:pPr>
    <w:rPr>
      <w:b/>
      <w:caps/>
      <w:sz w:val="30"/>
      <w:szCs w:val="20"/>
      <w:lang w:val="es-ES_tradnl"/>
    </w:rPr>
  </w:style>
  <w:style w:type="paragraph" w:customStyle="1" w:styleId="corte4fondoCarCarCar">
    <w:name w:val="corte4 fondo Car Car Car"/>
    <w:basedOn w:val="Normal"/>
    <w:uiPriority w:val="99"/>
    <w:rsid w:val="00D017A0"/>
    <w:pPr>
      <w:spacing w:line="360" w:lineRule="auto"/>
    </w:pPr>
    <w:rPr>
      <w:sz w:val="30"/>
      <w:szCs w:val="20"/>
    </w:rPr>
  </w:style>
  <w:style w:type="paragraph" w:customStyle="1" w:styleId="Estilo">
    <w:name w:val="Estilo"/>
    <w:link w:val="EstiloCar"/>
    <w:qFormat/>
    <w:rsid w:val="00D017A0"/>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017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5transcripcionCar1">
    <w:name w:val="corte5 transcripcion Car1"/>
    <w:rsid w:val="00D017A0"/>
    <w:rPr>
      <w:rFonts w:ascii="Arial" w:hAnsi="Arial" w:cs="Times New Roman"/>
      <w:b/>
      <w:i/>
      <w:sz w:val="30"/>
      <w:lang w:val="es-ES_tradnl" w:eastAsia="es-MX" w:bidi="ar-SA"/>
    </w:rPr>
  </w:style>
  <w:style w:type="paragraph" w:styleId="Mapadeldocumento">
    <w:name w:val="Document Map"/>
    <w:basedOn w:val="Normal"/>
    <w:link w:val="MapadeldocumentoCar"/>
    <w:uiPriority w:val="99"/>
    <w:semiHidden/>
    <w:rsid w:val="00D017A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D017A0"/>
    <w:rPr>
      <w:rFonts w:ascii="Tahoma" w:eastAsia="Times New Roman" w:hAnsi="Tahoma" w:cs="Tahoma"/>
      <w:sz w:val="24"/>
      <w:szCs w:val="24"/>
      <w:shd w:val="clear" w:color="auto" w:fill="000080"/>
      <w:lang w:eastAsia="es-MX"/>
    </w:rPr>
  </w:style>
  <w:style w:type="paragraph" w:styleId="Prrafodelista">
    <w:name w:val="List Paragraph"/>
    <w:basedOn w:val="Normal"/>
    <w:uiPriority w:val="34"/>
    <w:qFormat/>
    <w:rsid w:val="00D017A0"/>
    <w:pPr>
      <w:ind w:left="720"/>
      <w:contextualSpacing/>
    </w:pPr>
  </w:style>
  <w:style w:type="paragraph" w:styleId="Textodeglobo">
    <w:name w:val="Balloon Text"/>
    <w:basedOn w:val="Normal"/>
    <w:link w:val="TextodegloboCar"/>
    <w:uiPriority w:val="99"/>
    <w:semiHidden/>
    <w:unhideWhenUsed/>
    <w:rsid w:val="00D017A0"/>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7A0"/>
    <w:rPr>
      <w:rFonts w:ascii="Tahoma" w:eastAsia="Times New Roman" w:hAnsi="Tahoma" w:cs="Tahoma"/>
      <w:sz w:val="16"/>
      <w:szCs w:val="16"/>
      <w:lang w:eastAsia="es-MX"/>
    </w:rPr>
  </w:style>
  <w:style w:type="character" w:customStyle="1" w:styleId="EstiloCar">
    <w:name w:val="Estilo Car"/>
    <w:link w:val="Estilo"/>
    <w:locked/>
    <w:rsid w:val="00D017A0"/>
    <w:rPr>
      <w:rFonts w:ascii="Times New Roman" w:eastAsia="Times New Roman" w:hAnsi="Times New Roman" w:cs="Times New Roman"/>
      <w:sz w:val="24"/>
      <w:szCs w:val="24"/>
      <w:lang w:val="es-ES" w:eastAsia="es-ES"/>
    </w:rPr>
  </w:style>
  <w:style w:type="character" w:styleId="Refdenotaalpie">
    <w:name w:val="footnote reference"/>
    <w:aliases w:val="Ref. de nota al pie 2,Footnotes refss,Texto de nota al pie,Appel note de bas de page,julio,referencia nota al pie,BVI fnr,Footnote number,f,4_G,16 Point,Superscript 6 Point,Texto nota al pie,Footnote Reference Char3,Ref. de nota al,R"/>
    <w:uiPriority w:val="99"/>
    <w:qFormat/>
    <w:rsid w:val="00D017A0"/>
    <w:rPr>
      <w:vertAlign w:val="superscript"/>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Car, Car,FA Fu?notentext,Ca, Car3, C"/>
    <w:basedOn w:val="Normal"/>
    <w:link w:val="TextonotapieCar"/>
    <w:uiPriority w:val="99"/>
    <w:qFormat/>
    <w:rsid w:val="00D017A0"/>
    <w:rPr>
      <w:sz w:val="20"/>
      <w:szCs w:val="20"/>
      <w:lang w:val="es-ES_tradnl"/>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Car Car, Car Car,Ca Car"/>
    <w:basedOn w:val="Fuentedeprrafopredeter"/>
    <w:link w:val="Textonotapie"/>
    <w:uiPriority w:val="99"/>
    <w:rsid w:val="00D017A0"/>
    <w:rPr>
      <w:rFonts w:ascii="Times New Roman" w:eastAsia="Times New Roman" w:hAnsi="Times New Roman" w:cs="Times New Roman"/>
      <w:sz w:val="20"/>
      <w:szCs w:val="20"/>
      <w:lang w:val="es-ES_tradnl" w:eastAsia="es-MX"/>
    </w:rPr>
  </w:style>
  <w:style w:type="paragraph" w:customStyle="1" w:styleId="Encabezadodemensaje-ltima">
    <w:name w:val="Encabezado de mensaje - última"/>
    <w:basedOn w:val="Encabezadodemensaje"/>
    <w:next w:val="Textoindependiente"/>
    <w:rsid w:val="00D017A0"/>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right="-357" w:hanging="720"/>
    </w:pPr>
    <w:rPr>
      <w:rFonts w:ascii="Times New Roman" w:hAnsi="Times New Roman"/>
      <w:sz w:val="20"/>
      <w:szCs w:val="20"/>
      <w:lang w:val="es-ES"/>
    </w:rPr>
  </w:style>
  <w:style w:type="paragraph" w:styleId="Textoindependiente">
    <w:name w:val="Body Text"/>
    <w:basedOn w:val="Normal"/>
    <w:link w:val="TextoindependienteCar"/>
    <w:uiPriority w:val="99"/>
    <w:rsid w:val="00D017A0"/>
    <w:pPr>
      <w:spacing w:after="120"/>
    </w:pPr>
    <w:rPr>
      <w:sz w:val="20"/>
      <w:szCs w:val="20"/>
      <w:lang w:val="es-ES"/>
    </w:rPr>
  </w:style>
  <w:style w:type="character" w:customStyle="1" w:styleId="TextoindependienteCar">
    <w:name w:val="Texto independiente Car"/>
    <w:basedOn w:val="Fuentedeprrafopredeter"/>
    <w:link w:val="Textoindependiente"/>
    <w:uiPriority w:val="99"/>
    <w:rsid w:val="00D017A0"/>
    <w:rPr>
      <w:rFonts w:ascii="Times New Roman" w:eastAsia="Times New Roman" w:hAnsi="Times New Roman" w:cs="Times New Roman"/>
      <w:sz w:val="20"/>
      <w:szCs w:val="20"/>
      <w:lang w:val="es-ES" w:eastAsia="es-MX"/>
    </w:rPr>
  </w:style>
  <w:style w:type="paragraph" w:styleId="Encabezadodemensaje">
    <w:name w:val="Message Header"/>
    <w:basedOn w:val="Normal"/>
    <w:link w:val="EncabezadodemensajeCar"/>
    <w:uiPriority w:val="99"/>
    <w:semiHidden/>
    <w:unhideWhenUsed/>
    <w:rsid w:val="00D017A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uiPriority w:val="99"/>
    <w:semiHidden/>
    <w:rsid w:val="00D017A0"/>
    <w:rPr>
      <w:rFonts w:ascii="Cambria" w:eastAsia="Times New Roman" w:hAnsi="Cambria" w:cs="Times New Roman"/>
      <w:sz w:val="24"/>
      <w:szCs w:val="24"/>
      <w:shd w:val="pct20" w:color="auto" w:fill="auto"/>
      <w:lang w:eastAsia="es-MX"/>
    </w:rPr>
  </w:style>
  <w:style w:type="character" w:customStyle="1" w:styleId="articulojustificado1">
    <w:name w:val="articulojustificado1"/>
    <w:rsid w:val="00D017A0"/>
    <w:rPr>
      <w:rFonts w:ascii="Arial" w:hAnsi="Arial" w:cs="Arial" w:hint="default"/>
      <w:b w:val="0"/>
      <w:bCs w:val="0"/>
      <w:color w:val="000000"/>
      <w:sz w:val="18"/>
      <w:szCs w:val="18"/>
    </w:rPr>
  </w:style>
  <w:style w:type="paragraph" w:styleId="Sinespaciado">
    <w:name w:val="No Spacing"/>
    <w:uiPriority w:val="1"/>
    <w:qFormat/>
    <w:rsid w:val="00D017A0"/>
    <w:pPr>
      <w:spacing w:after="0" w:line="240" w:lineRule="auto"/>
    </w:pPr>
    <w:rPr>
      <w:rFonts w:ascii="Calibri" w:eastAsia="Calibri" w:hAnsi="Calibri" w:cs="Times New Roman"/>
      <w:lang w:val="es-ES"/>
    </w:rPr>
  </w:style>
  <w:style w:type="character" w:customStyle="1" w:styleId="articulojustificado2">
    <w:name w:val="articulojustificado2"/>
    <w:rsid w:val="00D017A0"/>
    <w:rPr>
      <w:rFonts w:ascii="Arial" w:hAnsi="Arial" w:cs="Arial" w:hint="default"/>
      <w:b w:val="0"/>
      <w:bCs w:val="0"/>
      <w:color w:val="000000"/>
      <w:sz w:val="18"/>
      <w:szCs w:val="18"/>
    </w:rPr>
  </w:style>
  <w:style w:type="character" w:customStyle="1" w:styleId="corte5transcripcionCarCar">
    <w:name w:val="corte5 transcripcion Car Car"/>
    <w:locked/>
    <w:rsid w:val="00D017A0"/>
    <w:rPr>
      <w:rFonts w:ascii="Arial" w:hAnsi="Arial" w:cs="Arial"/>
      <w:b/>
      <w:i/>
      <w:sz w:val="30"/>
      <w:lang w:val="es-ES_tradnl" w:eastAsia="es-MX"/>
    </w:rPr>
  </w:style>
  <w:style w:type="paragraph" w:customStyle="1" w:styleId="Normal0">
    <w:name w:val="[Normal]"/>
    <w:rsid w:val="00D017A0"/>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NormalWeb">
    <w:name w:val="Normal (Web)"/>
    <w:basedOn w:val="Normal"/>
    <w:uiPriority w:val="99"/>
    <w:rsid w:val="00D017A0"/>
    <w:pPr>
      <w:spacing w:before="100" w:beforeAutospacing="1" w:after="100" w:afterAutospacing="1"/>
    </w:pPr>
    <w:rPr>
      <w:lang w:val="es-ES" w:eastAsia="es-ES"/>
    </w:rPr>
  </w:style>
  <w:style w:type="paragraph" w:styleId="Lista2">
    <w:name w:val="List 2"/>
    <w:basedOn w:val="Normal"/>
    <w:uiPriority w:val="99"/>
    <w:unhideWhenUsed/>
    <w:rsid w:val="00D017A0"/>
    <w:pPr>
      <w:ind w:left="566" w:hanging="283"/>
      <w:contextualSpacing/>
    </w:pPr>
    <w:rPr>
      <w:lang w:val="es-ES" w:eastAsia="es-ES"/>
    </w:rPr>
  </w:style>
  <w:style w:type="paragraph" w:styleId="Lista3">
    <w:name w:val="List 3"/>
    <w:basedOn w:val="Normal"/>
    <w:uiPriority w:val="99"/>
    <w:unhideWhenUsed/>
    <w:rsid w:val="00D017A0"/>
    <w:pPr>
      <w:ind w:left="849" w:hanging="283"/>
      <w:contextualSpacing/>
    </w:pPr>
    <w:rPr>
      <w:lang w:val="es-ES" w:eastAsia="es-ES"/>
    </w:rPr>
  </w:style>
  <w:style w:type="paragraph" w:styleId="Saludo">
    <w:name w:val="Salutation"/>
    <w:basedOn w:val="Normal"/>
    <w:next w:val="Normal"/>
    <w:link w:val="SaludoCar"/>
    <w:uiPriority w:val="99"/>
    <w:unhideWhenUsed/>
    <w:rsid w:val="00D017A0"/>
    <w:rPr>
      <w:lang w:val="es-ES" w:eastAsia="es-ES"/>
    </w:rPr>
  </w:style>
  <w:style w:type="character" w:customStyle="1" w:styleId="SaludoCar">
    <w:name w:val="Saludo Car"/>
    <w:basedOn w:val="Fuentedeprrafopredeter"/>
    <w:link w:val="Saludo"/>
    <w:uiPriority w:val="99"/>
    <w:rsid w:val="00D017A0"/>
    <w:rPr>
      <w:rFonts w:ascii="Times New Roman" w:eastAsia="Times New Roman" w:hAnsi="Times New Roman" w:cs="Times New Roman"/>
      <w:sz w:val="24"/>
      <w:szCs w:val="24"/>
      <w:lang w:val="es-ES" w:eastAsia="es-ES"/>
    </w:rPr>
  </w:style>
  <w:style w:type="paragraph" w:styleId="Listaconvietas2">
    <w:name w:val="List Bullet 2"/>
    <w:basedOn w:val="Normal"/>
    <w:uiPriority w:val="99"/>
    <w:unhideWhenUsed/>
    <w:rsid w:val="00D017A0"/>
    <w:pPr>
      <w:numPr>
        <w:numId w:val="1"/>
      </w:numPr>
      <w:contextualSpacing/>
    </w:pPr>
    <w:rPr>
      <w:lang w:val="es-ES" w:eastAsia="es-ES"/>
    </w:rPr>
  </w:style>
  <w:style w:type="paragraph" w:styleId="Listaconvietas3">
    <w:name w:val="List Bullet 3"/>
    <w:basedOn w:val="Normal"/>
    <w:uiPriority w:val="99"/>
    <w:unhideWhenUsed/>
    <w:rsid w:val="00D017A0"/>
    <w:pPr>
      <w:numPr>
        <w:numId w:val="2"/>
      </w:numPr>
      <w:contextualSpacing/>
    </w:pPr>
    <w:rPr>
      <w:lang w:val="es-ES" w:eastAsia="es-ES"/>
    </w:rPr>
  </w:style>
  <w:style w:type="paragraph" w:styleId="Ttulo">
    <w:name w:val="Title"/>
    <w:basedOn w:val="Normal"/>
    <w:next w:val="Normal"/>
    <w:link w:val="TtuloCar"/>
    <w:qFormat/>
    <w:rsid w:val="00D017A0"/>
    <w:pPr>
      <w:pBdr>
        <w:bottom w:val="single" w:sz="8" w:space="4" w:color="4F81BD"/>
      </w:pBdr>
      <w:spacing w:after="300"/>
      <w:contextualSpacing/>
    </w:pPr>
    <w:rPr>
      <w:rFonts w:ascii="Cambria" w:hAnsi="Cambria"/>
      <w:color w:val="17365D"/>
      <w:spacing w:val="5"/>
      <w:kern w:val="28"/>
      <w:sz w:val="52"/>
      <w:szCs w:val="52"/>
      <w:lang w:val="es-ES" w:eastAsia="es-ES"/>
    </w:rPr>
  </w:style>
  <w:style w:type="character" w:customStyle="1" w:styleId="TtuloCar">
    <w:name w:val="Título Car"/>
    <w:basedOn w:val="Fuentedeprrafopredeter"/>
    <w:link w:val="Ttulo"/>
    <w:rsid w:val="00D017A0"/>
    <w:rPr>
      <w:rFonts w:ascii="Cambria" w:eastAsia="Times New Roman" w:hAnsi="Cambria" w:cs="Times New Roman"/>
      <w:color w:val="17365D"/>
      <w:spacing w:val="5"/>
      <w:kern w:val="28"/>
      <w:sz w:val="52"/>
      <w:szCs w:val="52"/>
      <w:lang w:val="es-ES" w:eastAsia="es-ES"/>
    </w:rPr>
  </w:style>
  <w:style w:type="paragraph" w:styleId="Textoindependienteprimerasangra">
    <w:name w:val="Body Text First Indent"/>
    <w:basedOn w:val="Textoindependiente"/>
    <w:link w:val="TextoindependienteprimerasangraCar"/>
    <w:uiPriority w:val="99"/>
    <w:unhideWhenUsed/>
    <w:rsid w:val="00D017A0"/>
    <w:pPr>
      <w:spacing w:after="0"/>
      <w:ind w:firstLine="360"/>
    </w:pPr>
    <w:rPr>
      <w:sz w:val="24"/>
      <w:szCs w:val="24"/>
      <w:lang w:eastAsia="es-ES"/>
    </w:rPr>
  </w:style>
  <w:style w:type="character" w:customStyle="1" w:styleId="TextoindependienteprimerasangraCar">
    <w:name w:val="Texto independiente primera sangría Car"/>
    <w:basedOn w:val="TextoindependienteCar"/>
    <w:link w:val="Textoindependienteprimerasangra"/>
    <w:uiPriority w:val="99"/>
    <w:rsid w:val="00D017A0"/>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D017A0"/>
    <w:pPr>
      <w:ind w:left="360" w:firstLine="360"/>
      <w:jc w:val="left"/>
    </w:pPr>
    <w:rPr>
      <w:rFonts w:ascii="Times New Roman" w:hAnsi="Times New Roman"/>
      <w:b w:val="0"/>
      <w:i w:val="0"/>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D017A0"/>
    <w:rPr>
      <w:rFonts w:ascii="Times New Roman" w:eastAsia="Times New Roman" w:hAnsi="Times New Roman" w:cs="Times New Roman"/>
      <w:b w:val="0"/>
      <w:i w:val="0"/>
      <w:sz w:val="24"/>
      <w:szCs w:val="24"/>
      <w:lang w:val="es-ES" w:eastAsia="es-ES"/>
    </w:rPr>
  </w:style>
  <w:style w:type="paragraph" w:customStyle="1" w:styleId="Default">
    <w:name w:val="Default"/>
    <w:rsid w:val="00D017A0"/>
    <w:pPr>
      <w:autoSpaceDE w:val="0"/>
      <w:autoSpaceDN w:val="0"/>
      <w:adjustRightInd w:val="0"/>
      <w:spacing w:after="0" w:line="240" w:lineRule="auto"/>
    </w:pPr>
    <w:rPr>
      <w:rFonts w:ascii="Arial" w:eastAsia="Calibri" w:hAnsi="Arial" w:cs="Arial"/>
      <w:color w:val="000000"/>
      <w:sz w:val="24"/>
      <w:szCs w:val="24"/>
    </w:rPr>
  </w:style>
  <w:style w:type="character" w:customStyle="1" w:styleId="corte2ponenteCar">
    <w:name w:val="corte2 ponente Car"/>
    <w:link w:val="corte2ponente"/>
    <w:uiPriority w:val="99"/>
    <w:rsid w:val="00D017A0"/>
    <w:rPr>
      <w:rFonts w:ascii="Arial" w:eastAsia="Times New Roman" w:hAnsi="Arial" w:cs="Times New Roman"/>
      <w:b/>
      <w:caps/>
      <w:sz w:val="30"/>
      <w:szCs w:val="20"/>
      <w:lang w:eastAsia="es-MX"/>
    </w:rPr>
  </w:style>
  <w:style w:type="character" w:customStyle="1" w:styleId="b1">
    <w:name w:val="b1"/>
    <w:rsid w:val="00321DA3"/>
    <w:rPr>
      <w:color w:val="000000"/>
    </w:rPr>
  </w:style>
  <w:style w:type="paragraph" w:customStyle="1" w:styleId="Estilo2">
    <w:name w:val="Estilo2"/>
    <w:basedOn w:val="Estilo"/>
    <w:link w:val="Estilo2Car"/>
    <w:rsid w:val="00CF7CDF"/>
    <w:pPr>
      <w:widowControl/>
      <w:autoSpaceDE/>
      <w:autoSpaceDN/>
      <w:adjustRightInd/>
      <w:spacing w:line="360" w:lineRule="auto"/>
      <w:jc w:val="both"/>
    </w:pPr>
    <w:rPr>
      <w:rFonts w:ascii="Arial" w:eastAsiaTheme="minorHAnsi" w:hAnsi="Arial" w:cstheme="minorBidi"/>
      <w:szCs w:val="22"/>
      <w:lang w:val="es-MX" w:eastAsia="en-US"/>
    </w:rPr>
  </w:style>
  <w:style w:type="character" w:customStyle="1" w:styleId="Estilo2Car">
    <w:name w:val="Estilo2 Car"/>
    <w:basedOn w:val="EstiloCar"/>
    <w:link w:val="Estilo2"/>
    <w:rsid w:val="00CF7CDF"/>
    <w:rPr>
      <w:rFonts w:ascii="Arial" w:eastAsia="Times New Roman" w:hAnsi="Arial" w:cs="Times New Roman"/>
      <w:sz w:val="24"/>
      <w:szCs w:val="24"/>
      <w:lang w:val="es-ES" w:eastAsia="es-ES"/>
    </w:rPr>
  </w:style>
  <w:style w:type="character" w:customStyle="1" w:styleId="corte4fondoCar2">
    <w:name w:val="corte4 fondo Car2"/>
    <w:locked/>
    <w:rsid w:val="0061386A"/>
    <w:rPr>
      <w:rFonts w:ascii="Arial" w:eastAsia="Times New Roman" w:hAnsi="Arial" w:cs="Arial"/>
      <w:sz w:val="30"/>
      <w:lang w:val="es-ES_tradnl" w:eastAsia="es-ES"/>
    </w:rPr>
  </w:style>
  <w:style w:type="character" w:customStyle="1" w:styleId="corte5transcripcionCar2">
    <w:name w:val="corte5 transcripcion Car2"/>
    <w:locked/>
    <w:rsid w:val="0061386A"/>
    <w:rPr>
      <w:rFonts w:ascii="Arial" w:eastAsia="Times New Roman" w:hAnsi="Arial" w:cs="Arial"/>
      <w:b/>
      <w:i/>
      <w:sz w:val="30"/>
      <w:lang w:val="es-ES_tradnl" w:eastAsia="es-ES"/>
    </w:rPr>
  </w:style>
  <w:style w:type="character" w:styleId="Refdecomentario">
    <w:name w:val="annotation reference"/>
    <w:basedOn w:val="Fuentedeprrafopredeter"/>
    <w:uiPriority w:val="99"/>
    <w:semiHidden/>
    <w:unhideWhenUsed/>
    <w:rsid w:val="00D62F22"/>
    <w:rPr>
      <w:sz w:val="16"/>
      <w:szCs w:val="16"/>
    </w:rPr>
  </w:style>
  <w:style w:type="paragraph" w:styleId="Textocomentario">
    <w:name w:val="annotation text"/>
    <w:basedOn w:val="Normal"/>
    <w:link w:val="TextocomentarioCar"/>
    <w:uiPriority w:val="99"/>
    <w:semiHidden/>
    <w:unhideWhenUsed/>
    <w:rsid w:val="00D62F22"/>
    <w:rPr>
      <w:sz w:val="20"/>
      <w:szCs w:val="20"/>
    </w:rPr>
  </w:style>
  <w:style w:type="character" w:customStyle="1" w:styleId="TextocomentarioCar">
    <w:name w:val="Texto comentario Car"/>
    <w:basedOn w:val="Fuentedeprrafopredeter"/>
    <w:link w:val="Textocomentario"/>
    <w:uiPriority w:val="99"/>
    <w:semiHidden/>
    <w:rsid w:val="00D62F22"/>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62F22"/>
    <w:rPr>
      <w:b/>
      <w:bCs/>
    </w:rPr>
  </w:style>
  <w:style w:type="character" w:customStyle="1" w:styleId="AsuntodelcomentarioCar">
    <w:name w:val="Asunto del comentario Car"/>
    <w:basedOn w:val="TextocomentarioCar"/>
    <w:link w:val="Asuntodelcomentario"/>
    <w:uiPriority w:val="99"/>
    <w:semiHidden/>
    <w:rsid w:val="00D62F22"/>
    <w:rPr>
      <w:rFonts w:ascii="Times New Roman" w:eastAsia="Times New Roman" w:hAnsi="Times New Roman" w:cs="Times New Roman"/>
      <w:b/>
      <w:bCs/>
      <w:sz w:val="20"/>
      <w:szCs w:val="20"/>
      <w:lang w:eastAsia="es-MX"/>
    </w:rPr>
  </w:style>
  <w:style w:type="character" w:customStyle="1" w:styleId="apple-converted-space">
    <w:name w:val="apple-converted-space"/>
    <w:basedOn w:val="Fuentedeprrafopredeter"/>
    <w:rsid w:val="00934864"/>
  </w:style>
  <w:style w:type="paragraph" w:customStyle="1" w:styleId="texto">
    <w:name w:val="texto"/>
    <w:basedOn w:val="Normal"/>
    <w:rsid w:val="00A71DB9"/>
    <w:pPr>
      <w:spacing w:before="100" w:beforeAutospacing="1" w:after="100" w:afterAutospacing="1"/>
    </w:pPr>
    <w:rPr>
      <w:rFonts w:eastAsiaTheme="minorHAnsi"/>
      <w:lang w:val="es-ES_tradnl" w:eastAsia="es-ES_tradnl"/>
    </w:rPr>
  </w:style>
  <w:style w:type="paragraph" w:customStyle="1" w:styleId="Listavistosa-nfasis11">
    <w:name w:val="Lista vistosa - Énfasis 11"/>
    <w:basedOn w:val="Normal"/>
    <w:uiPriority w:val="34"/>
    <w:qFormat/>
    <w:rsid w:val="00EA7E58"/>
    <w:pPr>
      <w:ind w:left="708"/>
    </w:pPr>
    <w:rPr>
      <w:lang w:eastAsia="es-ES"/>
    </w:rPr>
  </w:style>
  <w:style w:type="character" w:customStyle="1" w:styleId="corte3centroCar">
    <w:name w:val="corte3 centro Car"/>
    <w:link w:val="corte3centro"/>
    <w:locked/>
    <w:rsid w:val="00372A61"/>
    <w:rPr>
      <w:rFonts w:ascii="Arial" w:eastAsia="Times New Roman" w:hAnsi="Arial" w:cs="Times New Roman"/>
      <w:b/>
      <w:sz w:val="30"/>
      <w:szCs w:val="20"/>
      <w:lang w:eastAsia="es-MX"/>
    </w:rPr>
  </w:style>
  <w:style w:type="character" w:styleId="Hipervnculo">
    <w:name w:val="Hyperlink"/>
    <w:basedOn w:val="Fuentedeprrafopredeter"/>
    <w:uiPriority w:val="99"/>
    <w:unhideWhenUsed/>
    <w:rsid w:val="00407D2A"/>
    <w:rPr>
      <w:color w:val="0000FF" w:themeColor="hyperlink"/>
      <w:u w:val="single"/>
    </w:rPr>
  </w:style>
  <w:style w:type="character" w:customStyle="1" w:styleId="Ttulo3Car">
    <w:name w:val="Título 3 Car"/>
    <w:basedOn w:val="Fuentedeprrafopredeter"/>
    <w:link w:val="Ttulo3"/>
    <w:uiPriority w:val="9"/>
    <w:rsid w:val="00500326"/>
    <w:rPr>
      <w:rFonts w:ascii="Arial" w:eastAsiaTheme="majorEastAsia" w:hAnsi="Arial" w:cstheme="majorBidi"/>
      <w:b/>
      <w:sz w:val="28"/>
      <w:szCs w:val="24"/>
      <w:lang w:eastAsia="es-MX"/>
    </w:rPr>
  </w:style>
  <w:style w:type="character" w:customStyle="1" w:styleId="Ttulo4Car">
    <w:name w:val="Título 4 Car"/>
    <w:basedOn w:val="Fuentedeprrafopredeter"/>
    <w:link w:val="Ttulo4"/>
    <w:uiPriority w:val="9"/>
    <w:rsid w:val="00654E15"/>
    <w:rPr>
      <w:rFonts w:ascii="Arial" w:eastAsiaTheme="majorEastAsia" w:hAnsi="Arial" w:cstheme="majorBidi"/>
      <w:b/>
      <w:iCs/>
      <w:sz w:val="28"/>
      <w:szCs w:val="24"/>
      <w:lang w:eastAsia="es-MX"/>
    </w:rPr>
  </w:style>
  <w:style w:type="table" w:customStyle="1" w:styleId="Tablaconcuadrcula1">
    <w:name w:val="Tabla con cuadrícula1"/>
    <w:basedOn w:val="Tablanormal"/>
    <w:next w:val="Tablaconcuadrcula"/>
    <w:rsid w:val="000D4BB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5337">
      <w:bodyDiv w:val="1"/>
      <w:marLeft w:val="0"/>
      <w:marRight w:val="0"/>
      <w:marTop w:val="0"/>
      <w:marBottom w:val="0"/>
      <w:divBdr>
        <w:top w:val="none" w:sz="0" w:space="0" w:color="auto"/>
        <w:left w:val="none" w:sz="0" w:space="0" w:color="auto"/>
        <w:bottom w:val="none" w:sz="0" w:space="0" w:color="auto"/>
        <w:right w:val="none" w:sz="0" w:space="0" w:color="auto"/>
      </w:divBdr>
      <w:divsChild>
        <w:div w:id="1383747308">
          <w:marLeft w:val="0"/>
          <w:marRight w:val="0"/>
          <w:marTop w:val="0"/>
          <w:marBottom w:val="0"/>
          <w:divBdr>
            <w:top w:val="none" w:sz="0" w:space="0" w:color="auto"/>
            <w:left w:val="none" w:sz="0" w:space="0" w:color="auto"/>
            <w:bottom w:val="none" w:sz="0" w:space="0" w:color="auto"/>
            <w:right w:val="none" w:sz="0" w:space="0" w:color="auto"/>
          </w:divBdr>
        </w:div>
        <w:div w:id="1368874778">
          <w:marLeft w:val="0"/>
          <w:marRight w:val="0"/>
          <w:marTop w:val="0"/>
          <w:marBottom w:val="0"/>
          <w:divBdr>
            <w:top w:val="none" w:sz="0" w:space="0" w:color="auto"/>
            <w:left w:val="none" w:sz="0" w:space="0" w:color="auto"/>
            <w:bottom w:val="none" w:sz="0" w:space="0" w:color="auto"/>
            <w:right w:val="none" w:sz="0" w:space="0" w:color="auto"/>
          </w:divBdr>
        </w:div>
      </w:divsChild>
    </w:div>
    <w:div w:id="96683695">
      <w:bodyDiv w:val="1"/>
      <w:marLeft w:val="0"/>
      <w:marRight w:val="0"/>
      <w:marTop w:val="0"/>
      <w:marBottom w:val="0"/>
      <w:divBdr>
        <w:top w:val="none" w:sz="0" w:space="0" w:color="auto"/>
        <w:left w:val="none" w:sz="0" w:space="0" w:color="auto"/>
        <w:bottom w:val="none" w:sz="0" w:space="0" w:color="auto"/>
        <w:right w:val="none" w:sz="0" w:space="0" w:color="auto"/>
      </w:divBdr>
      <w:divsChild>
        <w:div w:id="369571453">
          <w:marLeft w:val="0"/>
          <w:marRight w:val="0"/>
          <w:marTop w:val="0"/>
          <w:marBottom w:val="0"/>
          <w:divBdr>
            <w:top w:val="none" w:sz="0" w:space="0" w:color="auto"/>
            <w:left w:val="none" w:sz="0" w:space="0" w:color="auto"/>
            <w:bottom w:val="none" w:sz="0" w:space="0" w:color="auto"/>
            <w:right w:val="none" w:sz="0" w:space="0" w:color="auto"/>
          </w:divBdr>
        </w:div>
        <w:div w:id="1844586241">
          <w:marLeft w:val="0"/>
          <w:marRight w:val="0"/>
          <w:marTop w:val="0"/>
          <w:marBottom w:val="0"/>
          <w:divBdr>
            <w:top w:val="none" w:sz="0" w:space="0" w:color="auto"/>
            <w:left w:val="none" w:sz="0" w:space="0" w:color="auto"/>
            <w:bottom w:val="none" w:sz="0" w:space="0" w:color="auto"/>
            <w:right w:val="none" w:sz="0" w:space="0" w:color="auto"/>
          </w:divBdr>
        </w:div>
        <w:div w:id="1388800613">
          <w:marLeft w:val="0"/>
          <w:marRight w:val="0"/>
          <w:marTop w:val="0"/>
          <w:marBottom w:val="0"/>
          <w:divBdr>
            <w:top w:val="none" w:sz="0" w:space="0" w:color="auto"/>
            <w:left w:val="none" w:sz="0" w:space="0" w:color="auto"/>
            <w:bottom w:val="none" w:sz="0" w:space="0" w:color="auto"/>
            <w:right w:val="none" w:sz="0" w:space="0" w:color="auto"/>
          </w:divBdr>
        </w:div>
        <w:div w:id="1406143586">
          <w:marLeft w:val="0"/>
          <w:marRight w:val="0"/>
          <w:marTop w:val="0"/>
          <w:marBottom w:val="0"/>
          <w:divBdr>
            <w:top w:val="none" w:sz="0" w:space="0" w:color="auto"/>
            <w:left w:val="none" w:sz="0" w:space="0" w:color="auto"/>
            <w:bottom w:val="none" w:sz="0" w:space="0" w:color="auto"/>
            <w:right w:val="none" w:sz="0" w:space="0" w:color="auto"/>
          </w:divBdr>
        </w:div>
        <w:div w:id="207382284">
          <w:marLeft w:val="0"/>
          <w:marRight w:val="0"/>
          <w:marTop w:val="0"/>
          <w:marBottom w:val="0"/>
          <w:divBdr>
            <w:top w:val="none" w:sz="0" w:space="0" w:color="auto"/>
            <w:left w:val="none" w:sz="0" w:space="0" w:color="auto"/>
            <w:bottom w:val="none" w:sz="0" w:space="0" w:color="auto"/>
            <w:right w:val="none" w:sz="0" w:space="0" w:color="auto"/>
          </w:divBdr>
        </w:div>
        <w:div w:id="1737701108">
          <w:marLeft w:val="0"/>
          <w:marRight w:val="0"/>
          <w:marTop w:val="0"/>
          <w:marBottom w:val="0"/>
          <w:divBdr>
            <w:top w:val="none" w:sz="0" w:space="0" w:color="auto"/>
            <w:left w:val="none" w:sz="0" w:space="0" w:color="auto"/>
            <w:bottom w:val="none" w:sz="0" w:space="0" w:color="auto"/>
            <w:right w:val="none" w:sz="0" w:space="0" w:color="auto"/>
          </w:divBdr>
        </w:div>
        <w:div w:id="1270504701">
          <w:marLeft w:val="0"/>
          <w:marRight w:val="0"/>
          <w:marTop w:val="0"/>
          <w:marBottom w:val="0"/>
          <w:divBdr>
            <w:top w:val="none" w:sz="0" w:space="0" w:color="auto"/>
            <w:left w:val="none" w:sz="0" w:space="0" w:color="auto"/>
            <w:bottom w:val="none" w:sz="0" w:space="0" w:color="auto"/>
            <w:right w:val="none" w:sz="0" w:space="0" w:color="auto"/>
          </w:divBdr>
        </w:div>
        <w:div w:id="2074111548">
          <w:marLeft w:val="0"/>
          <w:marRight w:val="0"/>
          <w:marTop w:val="0"/>
          <w:marBottom w:val="0"/>
          <w:divBdr>
            <w:top w:val="none" w:sz="0" w:space="0" w:color="auto"/>
            <w:left w:val="none" w:sz="0" w:space="0" w:color="auto"/>
            <w:bottom w:val="none" w:sz="0" w:space="0" w:color="auto"/>
            <w:right w:val="none" w:sz="0" w:space="0" w:color="auto"/>
          </w:divBdr>
        </w:div>
        <w:div w:id="251282011">
          <w:marLeft w:val="0"/>
          <w:marRight w:val="0"/>
          <w:marTop w:val="0"/>
          <w:marBottom w:val="0"/>
          <w:divBdr>
            <w:top w:val="none" w:sz="0" w:space="0" w:color="auto"/>
            <w:left w:val="none" w:sz="0" w:space="0" w:color="auto"/>
            <w:bottom w:val="none" w:sz="0" w:space="0" w:color="auto"/>
            <w:right w:val="none" w:sz="0" w:space="0" w:color="auto"/>
          </w:divBdr>
        </w:div>
        <w:div w:id="1239751187">
          <w:marLeft w:val="0"/>
          <w:marRight w:val="0"/>
          <w:marTop w:val="0"/>
          <w:marBottom w:val="0"/>
          <w:divBdr>
            <w:top w:val="none" w:sz="0" w:space="0" w:color="auto"/>
            <w:left w:val="none" w:sz="0" w:space="0" w:color="auto"/>
            <w:bottom w:val="none" w:sz="0" w:space="0" w:color="auto"/>
            <w:right w:val="none" w:sz="0" w:space="0" w:color="auto"/>
          </w:divBdr>
        </w:div>
        <w:div w:id="1352757667">
          <w:marLeft w:val="0"/>
          <w:marRight w:val="0"/>
          <w:marTop w:val="0"/>
          <w:marBottom w:val="0"/>
          <w:divBdr>
            <w:top w:val="none" w:sz="0" w:space="0" w:color="auto"/>
            <w:left w:val="none" w:sz="0" w:space="0" w:color="auto"/>
            <w:bottom w:val="none" w:sz="0" w:space="0" w:color="auto"/>
            <w:right w:val="none" w:sz="0" w:space="0" w:color="auto"/>
          </w:divBdr>
        </w:div>
        <w:div w:id="345332216">
          <w:marLeft w:val="0"/>
          <w:marRight w:val="0"/>
          <w:marTop w:val="0"/>
          <w:marBottom w:val="0"/>
          <w:divBdr>
            <w:top w:val="none" w:sz="0" w:space="0" w:color="auto"/>
            <w:left w:val="none" w:sz="0" w:space="0" w:color="auto"/>
            <w:bottom w:val="none" w:sz="0" w:space="0" w:color="auto"/>
            <w:right w:val="none" w:sz="0" w:space="0" w:color="auto"/>
          </w:divBdr>
        </w:div>
        <w:div w:id="787702617">
          <w:marLeft w:val="0"/>
          <w:marRight w:val="0"/>
          <w:marTop w:val="0"/>
          <w:marBottom w:val="0"/>
          <w:divBdr>
            <w:top w:val="none" w:sz="0" w:space="0" w:color="auto"/>
            <w:left w:val="none" w:sz="0" w:space="0" w:color="auto"/>
            <w:bottom w:val="none" w:sz="0" w:space="0" w:color="auto"/>
            <w:right w:val="none" w:sz="0" w:space="0" w:color="auto"/>
          </w:divBdr>
        </w:div>
        <w:div w:id="1935435471">
          <w:marLeft w:val="0"/>
          <w:marRight w:val="0"/>
          <w:marTop w:val="0"/>
          <w:marBottom w:val="0"/>
          <w:divBdr>
            <w:top w:val="none" w:sz="0" w:space="0" w:color="auto"/>
            <w:left w:val="none" w:sz="0" w:space="0" w:color="auto"/>
            <w:bottom w:val="none" w:sz="0" w:space="0" w:color="auto"/>
            <w:right w:val="none" w:sz="0" w:space="0" w:color="auto"/>
          </w:divBdr>
        </w:div>
        <w:div w:id="1272324608">
          <w:marLeft w:val="0"/>
          <w:marRight w:val="0"/>
          <w:marTop w:val="0"/>
          <w:marBottom w:val="0"/>
          <w:divBdr>
            <w:top w:val="none" w:sz="0" w:space="0" w:color="auto"/>
            <w:left w:val="none" w:sz="0" w:space="0" w:color="auto"/>
            <w:bottom w:val="none" w:sz="0" w:space="0" w:color="auto"/>
            <w:right w:val="none" w:sz="0" w:space="0" w:color="auto"/>
          </w:divBdr>
        </w:div>
        <w:div w:id="1954434052">
          <w:marLeft w:val="0"/>
          <w:marRight w:val="0"/>
          <w:marTop w:val="0"/>
          <w:marBottom w:val="0"/>
          <w:divBdr>
            <w:top w:val="none" w:sz="0" w:space="0" w:color="auto"/>
            <w:left w:val="none" w:sz="0" w:space="0" w:color="auto"/>
            <w:bottom w:val="none" w:sz="0" w:space="0" w:color="auto"/>
            <w:right w:val="none" w:sz="0" w:space="0" w:color="auto"/>
          </w:divBdr>
        </w:div>
        <w:div w:id="1181352709">
          <w:marLeft w:val="0"/>
          <w:marRight w:val="0"/>
          <w:marTop w:val="0"/>
          <w:marBottom w:val="0"/>
          <w:divBdr>
            <w:top w:val="none" w:sz="0" w:space="0" w:color="auto"/>
            <w:left w:val="none" w:sz="0" w:space="0" w:color="auto"/>
            <w:bottom w:val="none" w:sz="0" w:space="0" w:color="auto"/>
            <w:right w:val="none" w:sz="0" w:space="0" w:color="auto"/>
          </w:divBdr>
        </w:div>
        <w:div w:id="1783722089">
          <w:marLeft w:val="0"/>
          <w:marRight w:val="0"/>
          <w:marTop w:val="0"/>
          <w:marBottom w:val="0"/>
          <w:divBdr>
            <w:top w:val="none" w:sz="0" w:space="0" w:color="auto"/>
            <w:left w:val="none" w:sz="0" w:space="0" w:color="auto"/>
            <w:bottom w:val="none" w:sz="0" w:space="0" w:color="auto"/>
            <w:right w:val="none" w:sz="0" w:space="0" w:color="auto"/>
          </w:divBdr>
        </w:div>
        <w:div w:id="478034268">
          <w:marLeft w:val="0"/>
          <w:marRight w:val="0"/>
          <w:marTop w:val="0"/>
          <w:marBottom w:val="0"/>
          <w:divBdr>
            <w:top w:val="none" w:sz="0" w:space="0" w:color="auto"/>
            <w:left w:val="none" w:sz="0" w:space="0" w:color="auto"/>
            <w:bottom w:val="none" w:sz="0" w:space="0" w:color="auto"/>
            <w:right w:val="none" w:sz="0" w:space="0" w:color="auto"/>
          </w:divBdr>
        </w:div>
        <w:div w:id="342439460">
          <w:marLeft w:val="0"/>
          <w:marRight w:val="0"/>
          <w:marTop w:val="0"/>
          <w:marBottom w:val="0"/>
          <w:divBdr>
            <w:top w:val="none" w:sz="0" w:space="0" w:color="auto"/>
            <w:left w:val="none" w:sz="0" w:space="0" w:color="auto"/>
            <w:bottom w:val="none" w:sz="0" w:space="0" w:color="auto"/>
            <w:right w:val="none" w:sz="0" w:space="0" w:color="auto"/>
          </w:divBdr>
        </w:div>
        <w:div w:id="451094596">
          <w:marLeft w:val="0"/>
          <w:marRight w:val="0"/>
          <w:marTop w:val="0"/>
          <w:marBottom w:val="0"/>
          <w:divBdr>
            <w:top w:val="none" w:sz="0" w:space="0" w:color="auto"/>
            <w:left w:val="none" w:sz="0" w:space="0" w:color="auto"/>
            <w:bottom w:val="none" w:sz="0" w:space="0" w:color="auto"/>
            <w:right w:val="none" w:sz="0" w:space="0" w:color="auto"/>
          </w:divBdr>
        </w:div>
        <w:div w:id="1109425121">
          <w:marLeft w:val="0"/>
          <w:marRight w:val="0"/>
          <w:marTop w:val="0"/>
          <w:marBottom w:val="0"/>
          <w:divBdr>
            <w:top w:val="none" w:sz="0" w:space="0" w:color="auto"/>
            <w:left w:val="none" w:sz="0" w:space="0" w:color="auto"/>
            <w:bottom w:val="none" w:sz="0" w:space="0" w:color="auto"/>
            <w:right w:val="none" w:sz="0" w:space="0" w:color="auto"/>
          </w:divBdr>
        </w:div>
        <w:div w:id="629046818">
          <w:marLeft w:val="0"/>
          <w:marRight w:val="0"/>
          <w:marTop w:val="0"/>
          <w:marBottom w:val="0"/>
          <w:divBdr>
            <w:top w:val="none" w:sz="0" w:space="0" w:color="auto"/>
            <w:left w:val="none" w:sz="0" w:space="0" w:color="auto"/>
            <w:bottom w:val="none" w:sz="0" w:space="0" w:color="auto"/>
            <w:right w:val="none" w:sz="0" w:space="0" w:color="auto"/>
          </w:divBdr>
        </w:div>
        <w:div w:id="2137749820">
          <w:marLeft w:val="0"/>
          <w:marRight w:val="0"/>
          <w:marTop w:val="0"/>
          <w:marBottom w:val="0"/>
          <w:divBdr>
            <w:top w:val="none" w:sz="0" w:space="0" w:color="auto"/>
            <w:left w:val="none" w:sz="0" w:space="0" w:color="auto"/>
            <w:bottom w:val="none" w:sz="0" w:space="0" w:color="auto"/>
            <w:right w:val="none" w:sz="0" w:space="0" w:color="auto"/>
          </w:divBdr>
        </w:div>
        <w:div w:id="838541018">
          <w:marLeft w:val="0"/>
          <w:marRight w:val="0"/>
          <w:marTop w:val="0"/>
          <w:marBottom w:val="0"/>
          <w:divBdr>
            <w:top w:val="none" w:sz="0" w:space="0" w:color="auto"/>
            <w:left w:val="none" w:sz="0" w:space="0" w:color="auto"/>
            <w:bottom w:val="none" w:sz="0" w:space="0" w:color="auto"/>
            <w:right w:val="none" w:sz="0" w:space="0" w:color="auto"/>
          </w:divBdr>
        </w:div>
        <w:div w:id="744841525">
          <w:marLeft w:val="0"/>
          <w:marRight w:val="0"/>
          <w:marTop w:val="0"/>
          <w:marBottom w:val="0"/>
          <w:divBdr>
            <w:top w:val="none" w:sz="0" w:space="0" w:color="auto"/>
            <w:left w:val="none" w:sz="0" w:space="0" w:color="auto"/>
            <w:bottom w:val="none" w:sz="0" w:space="0" w:color="auto"/>
            <w:right w:val="none" w:sz="0" w:space="0" w:color="auto"/>
          </w:divBdr>
        </w:div>
        <w:div w:id="1470785744">
          <w:marLeft w:val="0"/>
          <w:marRight w:val="0"/>
          <w:marTop w:val="0"/>
          <w:marBottom w:val="0"/>
          <w:divBdr>
            <w:top w:val="none" w:sz="0" w:space="0" w:color="auto"/>
            <w:left w:val="none" w:sz="0" w:space="0" w:color="auto"/>
            <w:bottom w:val="none" w:sz="0" w:space="0" w:color="auto"/>
            <w:right w:val="none" w:sz="0" w:space="0" w:color="auto"/>
          </w:divBdr>
        </w:div>
        <w:div w:id="350959657">
          <w:marLeft w:val="0"/>
          <w:marRight w:val="0"/>
          <w:marTop w:val="0"/>
          <w:marBottom w:val="0"/>
          <w:divBdr>
            <w:top w:val="none" w:sz="0" w:space="0" w:color="auto"/>
            <w:left w:val="none" w:sz="0" w:space="0" w:color="auto"/>
            <w:bottom w:val="none" w:sz="0" w:space="0" w:color="auto"/>
            <w:right w:val="none" w:sz="0" w:space="0" w:color="auto"/>
          </w:divBdr>
        </w:div>
        <w:div w:id="378213395">
          <w:marLeft w:val="0"/>
          <w:marRight w:val="0"/>
          <w:marTop w:val="0"/>
          <w:marBottom w:val="0"/>
          <w:divBdr>
            <w:top w:val="none" w:sz="0" w:space="0" w:color="auto"/>
            <w:left w:val="none" w:sz="0" w:space="0" w:color="auto"/>
            <w:bottom w:val="none" w:sz="0" w:space="0" w:color="auto"/>
            <w:right w:val="none" w:sz="0" w:space="0" w:color="auto"/>
          </w:divBdr>
        </w:div>
        <w:div w:id="865870347">
          <w:marLeft w:val="0"/>
          <w:marRight w:val="0"/>
          <w:marTop w:val="0"/>
          <w:marBottom w:val="0"/>
          <w:divBdr>
            <w:top w:val="none" w:sz="0" w:space="0" w:color="auto"/>
            <w:left w:val="none" w:sz="0" w:space="0" w:color="auto"/>
            <w:bottom w:val="none" w:sz="0" w:space="0" w:color="auto"/>
            <w:right w:val="none" w:sz="0" w:space="0" w:color="auto"/>
          </w:divBdr>
        </w:div>
        <w:div w:id="219247085">
          <w:marLeft w:val="0"/>
          <w:marRight w:val="0"/>
          <w:marTop w:val="0"/>
          <w:marBottom w:val="0"/>
          <w:divBdr>
            <w:top w:val="none" w:sz="0" w:space="0" w:color="auto"/>
            <w:left w:val="none" w:sz="0" w:space="0" w:color="auto"/>
            <w:bottom w:val="none" w:sz="0" w:space="0" w:color="auto"/>
            <w:right w:val="none" w:sz="0" w:space="0" w:color="auto"/>
          </w:divBdr>
        </w:div>
        <w:div w:id="759182508">
          <w:marLeft w:val="0"/>
          <w:marRight w:val="0"/>
          <w:marTop w:val="0"/>
          <w:marBottom w:val="0"/>
          <w:divBdr>
            <w:top w:val="none" w:sz="0" w:space="0" w:color="auto"/>
            <w:left w:val="none" w:sz="0" w:space="0" w:color="auto"/>
            <w:bottom w:val="none" w:sz="0" w:space="0" w:color="auto"/>
            <w:right w:val="none" w:sz="0" w:space="0" w:color="auto"/>
          </w:divBdr>
        </w:div>
        <w:div w:id="939065758">
          <w:marLeft w:val="0"/>
          <w:marRight w:val="0"/>
          <w:marTop w:val="0"/>
          <w:marBottom w:val="0"/>
          <w:divBdr>
            <w:top w:val="none" w:sz="0" w:space="0" w:color="auto"/>
            <w:left w:val="none" w:sz="0" w:space="0" w:color="auto"/>
            <w:bottom w:val="none" w:sz="0" w:space="0" w:color="auto"/>
            <w:right w:val="none" w:sz="0" w:space="0" w:color="auto"/>
          </w:divBdr>
        </w:div>
      </w:divsChild>
    </w:div>
    <w:div w:id="261694832">
      <w:bodyDiv w:val="1"/>
      <w:marLeft w:val="0"/>
      <w:marRight w:val="0"/>
      <w:marTop w:val="0"/>
      <w:marBottom w:val="0"/>
      <w:divBdr>
        <w:top w:val="none" w:sz="0" w:space="0" w:color="auto"/>
        <w:left w:val="none" w:sz="0" w:space="0" w:color="auto"/>
        <w:bottom w:val="none" w:sz="0" w:space="0" w:color="auto"/>
        <w:right w:val="none" w:sz="0" w:space="0" w:color="auto"/>
      </w:divBdr>
      <w:divsChild>
        <w:div w:id="522859324">
          <w:marLeft w:val="0"/>
          <w:marRight w:val="0"/>
          <w:marTop w:val="0"/>
          <w:marBottom w:val="0"/>
          <w:divBdr>
            <w:top w:val="none" w:sz="0" w:space="0" w:color="auto"/>
            <w:left w:val="none" w:sz="0" w:space="0" w:color="auto"/>
            <w:bottom w:val="none" w:sz="0" w:space="0" w:color="auto"/>
            <w:right w:val="none" w:sz="0" w:space="0" w:color="auto"/>
          </w:divBdr>
        </w:div>
      </w:divsChild>
    </w:div>
    <w:div w:id="263196313">
      <w:bodyDiv w:val="1"/>
      <w:marLeft w:val="0"/>
      <w:marRight w:val="0"/>
      <w:marTop w:val="0"/>
      <w:marBottom w:val="0"/>
      <w:divBdr>
        <w:top w:val="none" w:sz="0" w:space="0" w:color="auto"/>
        <w:left w:val="none" w:sz="0" w:space="0" w:color="auto"/>
        <w:bottom w:val="none" w:sz="0" w:space="0" w:color="auto"/>
        <w:right w:val="none" w:sz="0" w:space="0" w:color="auto"/>
      </w:divBdr>
    </w:div>
    <w:div w:id="333192488">
      <w:bodyDiv w:val="1"/>
      <w:marLeft w:val="0"/>
      <w:marRight w:val="0"/>
      <w:marTop w:val="0"/>
      <w:marBottom w:val="0"/>
      <w:divBdr>
        <w:top w:val="none" w:sz="0" w:space="0" w:color="auto"/>
        <w:left w:val="none" w:sz="0" w:space="0" w:color="auto"/>
        <w:bottom w:val="none" w:sz="0" w:space="0" w:color="auto"/>
        <w:right w:val="none" w:sz="0" w:space="0" w:color="auto"/>
      </w:divBdr>
    </w:div>
    <w:div w:id="354578922">
      <w:bodyDiv w:val="1"/>
      <w:marLeft w:val="0"/>
      <w:marRight w:val="0"/>
      <w:marTop w:val="0"/>
      <w:marBottom w:val="0"/>
      <w:divBdr>
        <w:top w:val="none" w:sz="0" w:space="0" w:color="auto"/>
        <w:left w:val="none" w:sz="0" w:space="0" w:color="auto"/>
        <w:bottom w:val="none" w:sz="0" w:space="0" w:color="auto"/>
        <w:right w:val="none" w:sz="0" w:space="0" w:color="auto"/>
      </w:divBdr>
    </w:div>
    <w:div w:id="359357211">
      <w:bodyDiv w:val="1"/>
      <w:marLeft w:val="0"/>
      <w:marRight w:val="0"/>
      <w:marTop w:val="0"/>
      <w:marBottom w:val="0"/>
      <w:divBdr>
        <w:top w:val="none" w:sz="0" w:space="0" w:color="auto"/>
        <w:left w:val="none" w:sz="0" w:space="0" w:color="auto"/>
        <w:bottom w:val="none" w:sz="0" w:space="0" w:color="auto"/>
        <w:right w:val="none" w:sz="0" w:space="0" w:color="auto"/>
      </w:divBdr>
    </w:div>
    <w:div w:id="412700500">
      <w:bodyDiv w:val="1"/>
      <w:marLeft w:val="0"/>
      <w:marRight w:val="0"/>
      <w:marTop w:val="0"/>
      <w:marBottom w:val="0"/>
      <w:divBdr>
        <w:top w:val="none" w:sz="0" w:space="0" w:color="auto"/>
        <w:left w:val="none" w:sz="0" w:space="0" w:color="auto"/>
        <w:bottom w:val="none" w:sz="0" w:space="0" w:color="auto"/>
        <w:right w:val="none" w:sz="0" w:space="0" w:color="auto"/>
      </w:divBdr>
    </w:div>
    <w:div w:id="412705738">
      <w:bodyDiv w:val="1"/>
      <w:marLeft w:val="0"/>
      <w:marRight w:val="0"/>
      <w:marTop w:val="0"/>
      <w:marBottom w:val="0"/>
      <w:divBdr>
        <w:top w:val="none" w:sz="0" w:space="0" w:color="auto"/>
        <w:left w:val="none" w:sz="0" w:space="0" w:color="auto"/>
        <w:bottom w:val="none" w:sz="0" w:space="0" w:color="auto"/>
        <w:right w:val="none" w:sz="0" w:space="0" w:color="auto"/>
      </w:divBdr>
    </w:div>
    <w:div w:id="475025698">
      <w:bodyDiv w:val="1"/>
      <w:marLeft w:val="0"/>
      <w:marRight w:val="0"/>
      <w:marTop w:val="0"/>
      <w:marBottom w:val="0"/>
      <w:divBdr>
        <w:top w:val="none" w:sz="0" w:space="0" w:color="auto"/>
        <w:left w:val="none" w:sz="0" w:space="0" w:color="auto"/>
        <w:bottom w:val="none" w:sz="0" w:space="0" w:color="auto"/>
        <w:right w:val="none" w:sz="0" w:space="0" w:color="auto"/>
      </w:divBdr>
    </w:div>
    <w:div w:id="484053441">
      <w:bodyDiv w:val="1"/>
      <w:marLeft w:val="0"/>
      <w:marRight w:val="0"/>
      <w:marTop w:val="0"/>
      <w:marBottom w:val="0"/>
      <w:divBdr>
        <w:top w:val="none" w:sz="0" w:space="0" w:color="auto"/>
        <w:left w:val="none" w:sz="0" w:space="0" w:color="auto"/>
        <w:bottom w:val="none" w:sz="0" w:space="0" w:color="auto"/>
        <w:right w:val="none" w:sz="0" w:space="0" w:color="auto"/>
      </w:divBdr>
    </w:div>
    <w:div w:id="515075125">
      <w:bodyDiv w:val="1"/>
      <w:marLeft w:val="0"/>
      <w:marRight w:val="0"/>
      <w:marTop w:val="0"/>
      <w:marBottom w:val="0"/>
      <w:divBdr>
        <w:top w:val="none" w:sz="0" w:space="0" w:color="auto"/>
        <w:left w:val="none" w:sz="0" w:space="0" w:color="auto"/>
        <w:bottom w:val="none" w:sz="0" w:space="0" w:color="auto"/>
        <w:right w:val="none" w:sz="0" w:space="0" w:color="auto"/>
      </w:divBdr>
    </w:div>
    <w:div w:id="530802295">
      <w:bodyDiv w:val="1"/>
      <w:marLeft w:val="0"/>
      <w:marRight w:val="0"/>
      <w:marTop w:val="0"/>
      <w:marBottom w:val="0"/>
      <w:divBdr>
        <w:top w:val="none" w:sz="0" w:space="0" w:color="auto"/>
        <w:left w:val="none" w:sz="0" w:space="0" w:color="auto"/>
        <w:bottom w:val="none" w:sz="0" w:space="0" w:color="auto"/>
        <w:right w:val="none" w:sz="0" w:space="0" w:color="auto"/>
      </w:divBdr>
    </w:div>
    <w:div w:id="564803908">
      <w:bodyDiv w:val="1"/>
      <w:marLeft w:val="0"/>
      <w:marRight w:val="0"/>
      <w:marTop w:val="0"/>
      <w:marBottom w:val="0"/>
      <w:divBdr>
        <w:top w:val="none" w:sz="0" w:space="0" w:color="auto"/>
        <w:left w:val="none" w:sz="0" w:space="0" w:color="auto"/>
        <w:bottom w:val="none" w:sz="0" w:space="0" w:color="auto"/>
        <w:right w:val="none" w:sz="0" w:space="0" w:color="auto"/>
      </w:divBdr>
      <w:divsChild>
        <w:div w:id="618536999">
          <w:marLeft w:val="0"/>
          <w:marRight w:val="0"/>
          <w:marTop w:val="0"/>
          <w:marBottom w:val="0"/>
          <w:divBdr>
            <w:top w:val="none" w:sz="0" w:space="0" w:color="auto"/>
            <w:left w:val="none" w:sz="0" w:space="0" w:color="auto"/>
            <w:bottom w:val="none" w:sz="0" w:space="0" w:color="auto"/>
            <w:right w:val="none" w:sz="0" w:space="0" w:color="auto"/>
          </w:divBdr>
        </w:div>
        <w:div w:id="8143727">
          <w:marLeft w:val="0"/>
          <w:marRight w:val="0"/>
          <w:marTop w:val="0"/>
          <w:marBottom w:val="0"/>
          <w:divBdr>
            <w:top w:val="none" w:sz="0" w:space="0" w:color="auto"/>
            <w:left w:val="none" w:sz="0" w:space="0" w:color="auto"/>
            <w:bottom w:val="none" w:sz="0" w:space="0" w:color="auto"/>
            <w:right w:val="none" w:sz="0" w:space="0" w:color="auto"/>
          </w:divBdr>
        </w:div>
        <w:div w:id="95055452">
          <w:marLeft w:val="0"/>
          <w:marRight w:val="0"/>
          <w:marTop w:val="0"/>
          <w:marBottom w:val="0"/>
          <w:divBdr>
            <w:top w:val="none" w:sz="0" w:space="0" w:color="auto"/>
            <w:left w:val="none" w:sz="0" w:space="0" w:color="auto"/>
            <w:bottom w:val="none" w:sz="0" w:space="0" w:color="auto"/>
            <w:right w:val="none" w:sz="0" w:space="0" w:color="auto"/>
          </w:divBdr>
        </w:div>
        <w:div w:id="1595898606">
          <w:marLeft w:val="0"/>
          <w:marRight w:val="0"/>
          <w:marTop w:val="0"/>
          <w:marBottom w:val="0"/>
          <w:divBdr>
            <w:top w:val="none" w:sz="0" w:space="0" w:color="auto"/>
            <w:left w:val="none" w:sz="0" w:space="0" w:color="auto"/>
            <w:bottom w:val="none" w:sz="0" w:space="0" w:color="auto"/>
            <w:right w:val="none" w:sz="0" w:space="0" w:color="auto"/>
          </w:divBdr>
        </w:div>
        <w:div w:id="427389138">
          <w:marLeft w:val="0"/>
          <w:marRight w:val="0"/>
          <w:marTop w:val="0"/>
          <w:marBottom w:val="0"/>
          <w:divBdr>
            <w:top w:val="none" w:sz="0" w:space="0" w:color="auto"/>
            <w:left w:val="none" w:sz="0" w:space="0" w:color="auto"/>
            <w:bottom w:val="none" w:sz="0" w:space="0" w:color="auto"/>
            <w:right w:val="none" w:sz="0" w:space="0" w:color="auto"/>
          </w:divBdr>
        </w:div>
        <w:div w:id="1388410937">
          <w:marLeft w:val="0"/>
          <w:marRight w:val="0"/>
          <w:marTop w:val="0"/>
          <w:marBottom w:val="0"/>
          <w:divBdr>
            <w:top w:val="none" w:sz="0" w:space="0" w:color="auto"/>
            <w:left w:val="none" w:sz="0" w:space="0" w:color="auto"/>
            <w:bottom w:val="none" w:sz="0" w:space="0" w:color="auto"/>
            <w:right w:val="none" w:sz="0" w:space="0" w:color="auto"/>
          </w:divBdr>
        </w:div>
        <w:div w:id="1327632576">
          <w:marLeft w:val="0"/>
          <w:marRight w:val="0"/>
          <w:marTop w:val="0"/>
          <w:marBottom w:val="0"/>
          <w:divBdr>
            <w:top w:val="none" w:sz="0" w:space="0" w:color="auto"/>
            <w:left w:val="none" w:sz="0" w:space="0" w:color="auto"/>
            <w:bottom w:val="none" w:sz="0" w:space="0" w:color="auto"/>
            <w:right w:val="none" w:sz="0" w:space="0" w:color="auto"/>
          </w:divBdr>
        </w:div>
      </w:divsChild>
    </w:div>
    <w:div w:id="782530290">
      <w:bodyDiv w:val="1"/>
      <w:marLeft w:val="0"/>
      <w:marRight w:val="0"/>
      <w:marTop w:val="0"/>
      <w:marBottom w:val="0"/>
      <w:divBdr>
        <w:top w:val="none" w:sz="0" w:space="0" w:color="auto"/>
        <w:left w:val="none" w:sz="0" w:space="0" w:color="auto"/>
        <w:bottom w:val="none" w:sz="0" w:space="0" w:color="auto"/>
        <w:right w:val="none" w:sz="0" w:space="0" w:color="auto"/>
      </w:divBdr>
    </w:div>
    <w:div w:id="867568342">
      <w:bodyDiv w:val="1"/>
      <w:marLeft w:val="0"/>
      <w:marRight w:val="0"/>
      <w:marTop w:val="0"/>
      <w:marBottom w:val="0"/>
      <w:divBdr>
        <w:top w:val="none" w:sz="0" w:space="0" w:color="auto"/>
        <w:left w:val="none" w:sz="0" w:space="0" w:color="auto"/>
        <w:bottom w:val="none" w:sz="0" w:space="0" w:color="auto"/>
        <w:right w:val="none" w:sz="0" w:space="0" w:color="auto"/>
      </w:divBdr>
    </w:div>
    <w:div w:id="944923817">
      <w:bodyDiv w:val="1"/>
      <w:marLeft w:val="0"/>
      <w:marRight w:val="0"/>
      <w:marTop w:val="0"/>
      <w:marBottom w:val="0"/>
      <w:divBdr>
        <w:top w:val="none" w:sz="0" w:space="0" w:color="auto"/>
        <w:left w:val="none" w:sz="0" w:space="0" w:color="auto"/>
        <w:bottom w:val="none" w:sz="0" w:space="0" w:color="auto"/>
        <w:right w:val="none" w:sz="0" w:space="0" w:color="auto"/>
      </w:divBdr>
    </w:div>
    <w:div w:id="952663441">
      <w:bodyDiv w:val="1"/>
      <w:marLeft w:val="0"/>
      <w:marRight w:val="0"/>
      <w:marTop w:val="0"/>
      <w:marBottom w:val="0"/>
      <w:divBdr>
        <w:top w:val="none" w:sz="0" w:space="0" w:color="auto"/>
        <w:left w:val="none" w:sz="0" w:space="0" w:color="auto"/>
        <w:bottom w:val="none" w:sz="0" w:space="0" w:color="auto"/>
        <w:right w:val="none" w:sz="0" w:space="0" w:color="auto"/>
      </w:divBdr>
    </w:div>
    <w:div w:id="968509983">
      <w:bodyDiv w:val="1"/>
      <w:marLeft w:val="0"/>
      <w:marRight w:val="0"/>
      <w:marTop w:val="0"/>
      <w:marBottom w:val="0"/>
      <w:divBdr>
        <w:top w:val="none" w:sz="0" w:space="0" w:color="auto"/>
        <w:left w:val="none" w:sz="0" w:space="0" w:color="auto"/>
        <w:bottom w:val="none" w:sz="0" w:space="0" w:color="auto"/>
        <w:right w:val="none" w:sz="0" w:space="0" w:color="auto"/>
      </w:divBdr>
    </w:div>
    <w:div w:id="968785355">
      <w:bodyDiv w:val="1"/>
      <w:marLeft w:val="0"/>
      <w:marRight w:val="0"/>
      <w:marTop w:val="0"/>
      <w:marBottom w:val="0"/>
      <w:divBdr>
        <w:top w:val="none" w:sz="0" w:space="0" w:color="auto"/>
        <w:left w:val="none" w:sz="0" w:space="0" w:color="auto"/>
        <w:bottom w:val="none" w:sz="0" w:space="0" w:color="auto"/>
        <w:right w:val="none" w:sz="0" w:space="0" w:color="auto"/>
      </w:divBdr>
    </w:div>
    <w:div w:id="970866400">
      <w:bodyDiv w:val="1"/>
      <w:marLeft w:val="0"/>
      <w:marRight w:val="0"/>
      <w:marTop w:val="0"/>
      <w:marBottom w:val="0"/>
      <w:divBdr>
        <w:top w:val="none" w:sz="0" w:space="0" w:color="auto"/>
        <w:left w:val="none" w:sz="0" w:space="0" w:color="auto"/>
        <w:bottom w:val="none" w:sz="0" w:space="0" w:color="auto"/>
        <w:right w:val="none" w:sz="0" w:space="0" w:color="auto"/>
      </w:divBdr>
      <w:divsChild>
        <w:div w:id="1822037478">
          <w:marLeft w:val="0"/>
          <w:marRight w:val="0"/>
          <w:marTop w:val="0"/>
          <w:marBottom w:val="0"/>
          <w:divBdr>
            <w:top w:val="none" w:sz="0" w:space="0" w:color="auto"/>
            <w:left w:val="none" w:sz="0" w:space="0" w:color="auto"/>
            <w:bottom w:val="none" w:sz="0" w:space="0" w:color="auto"/>
            <w:right w:val="none" w:sz="0" w:space="0" w:color="auto"/>
          </w:divBdr>
        </w:div>
      </w:divsChild>
    </w:div>
    <w:div w:id="1010837287">
      <w:bodyDiv w:val="1"/>
      <w:marLeft w:val="0"/>
      <w:marRight w:val="0"/>
      <w:marTop w:val="0"/>
      <w:marBottom w:val="0"/>
      <w:divBdr>
        <w:top w:val="none" w:sz="0" w:space="0" w:color="auto"/>
        <w:left w:val="none" w:sz="0" w:space="0" w:color="auto"/>
        <w:bottom w:val="none" w:sz="0" w:space="0" w:color="auto"/>
        <w:right w:val="none" w:sz="0" w:space="0" w:color="auto"/>
      </w:divBdr>
    </w:div>
    <w:div w:id="1109013381">
      <w:bodyDiv w:val="1"/>
      <w:marLeft w:val="0"/>
      <w:marRight w:val="0"/>
      <w:marTop w:val="0"/>
      <w:marBottom w:val="0"/>
      <w:divBdr>
        <w:top w:val="none" w:sz="0" w:space="0" w:color="auto"/>
        <w:left w:val="none" w:sz="0" w:space="0" w:color="auto"/>
        <w:bottom w:val="none" w:sz="0" w:space="0" w:color="auto"/>
        <w:right w:val="none" w:sz="0" w:space="0" w:color="auto"/>
      </w:divBdr>
      <w:divsChild>
        <w:div w:id="245893125">
          <w:marLeft w:val="0"/>
          <w:marRight w:val="0"/>
          <w:marTop w:val="0"/>
          <w:marBottom w:val="0"/>
          <w:divBdr>
            <w:top w:val="none" w:sz="0" w:space="0" w:color="auto"/>
            <w:left w:val="none" w:sz="0" w:space="0" w:color="auto"/>
            <w:bottom w:val="none" w:sz="0" w:space="0" w:color="auto"/>
            <w:right w:val="none" w:sz="0" w:space="0" w:color="auto"/>
          </w:divBdr>
        </w:div>
      </w:divsChild>
    </w:div>
    <w:div w:id="1111439242">
      <w:bodyDiv w:val="1"/>
      <w:marLeft w:val="0"/>
      <w:marRight w:val="0"/>
      <w:marTop w:val="0"/>
      <w:marBottom w:val="0"/>
      <w:divBdr>
        <w:top w:val="none" w:sz="0" w:space="0" w:color="auto"/>
        <w:left w:val="none" w:sz="0" w:space="0" w:color="auto"/>
        <w:bottom w:val="none" w:sz="0" w:space="0" w:color="auto"/>
        <w:right w:val="none" w:sz="0" w:space="0" w:color="auto"/>
      </w:divBdr>
      <w:divsChild>
        <w:div w:id="221672354">
          <w:marLeft w:val="0"/>
          <w:marRight w:val="0"/>
          <w:marTop w:val="0"/>
          <w:marBottom w:val="0"/>
          <w:divBdr>
            <w:top w:val="none" w:sz="0" w:space="0" w:color="auto"/>
            <w:left w:val="none" w:sz="0" w:space="0" w:color="auto"/>
            <w:bottom w:val="none" w:sz="0" w:space="0" w:color="auto"/>
            <w:right w:val="none" w:sz="0" w:space="0" w:color="auto"/>
          </w:divBdr>
        </w:div>
      </w:divsChild>
    </w:div>
    <w:div w:id="1178541896">
      <w:bodyDiv w:val="1"/>
      <w:marLeft w:val="0"/>
      <w:marRight w:val="0"/>
      <w:marTop w:val="0"/>
      <w:marBottom w:val="0"/>
      <w:divBdr>
        <w:top w:val="none" w:sz="0" w:space="0" w:color="auto"/>
        <w:left w:val="none" w:sz="0" w:space="0" w:color="auto"/>
        <w:bottom w:val="none" w:sz="0" w:space="0" w:color="auto"/>
        <w:right w:val="none" w:sz="0" w:space="0" w:color="auto"/>
      </w:divBdr>
    </w:div>
    <w:div w:id="1266304788">
      <w:bodyDiv w:val="1"/>
      <w:marLeft w:val="0"/>
      <w:marRight w:val="0"/>
      <w:marTop w:val="0"/>
      <w:marBottom w:val="0"/>
      <w:divBdr>
        <w:top w:val="none" w:sz="0" w:space="0" w:color="auto"/>
        <w:left w:val="none" w:sz="0" w:space="0" w:color="auto"/>
        <w:bottom w:val="none" w:sz="0" w:space="0" w:color="auto"/>
        <w:right w:val="none" w:sz="0" w:space="0" w:color="auto"/>
      </w:divBdr>
    </w:div>
    <w:div w:id="1271937820">
      <w:bodyDiv w:val="1"/>
      <w:marLeft w:val="0"/>
      <w:marRight w:val="0"/>
      <w:marTop w:val="0"/>
      <w:marBottom w:val="0"/>
      <w:divBdr>
        <w:top w:val="none" w:sz="0" w:space="0" w:color="auto"/>
        <w:left w:val="none" w:sz="0" w:space="0" w:color="auto"/>
        <w:bottom w:val="none" w:sz="0" w:space="0" w:color="auto"/>
        <w:right w:val="none" w:sz="0" w:space="0" w:color="auto"/>
      </w:divBdr>
    </w:div>
    <w:div w:id="1324090969">
      <w:bodyDiv w:val="1"/>
      <w:marLeft w:val="0"/>
      <w:marRight w:val="0"/>
      <w:marTop w:val="0"/>
      <w:marBottom w:val="0"/>
      <w:divBdr>
        <w:top w:val="none" w:sz="0" w:space="0" w:color="auto"/>
        <w:left w:val="none" w:sz="0" w:space="0" w:color="auto"/>
        <w:bottom w:val="none" w:sz="0" w:space="0" w:color="auto"/>
        <w:right w:val="none" w:sz="0" w:space="0" w:color="auto"/>
      </w:divBdr>
      <w:divsChild>
        <w:div w:id="1501847100">
          <w:marLeft w:val="0"/>
          <w:marRight w:val="0"/>
          <w:marTop w:val="0"/>
          <w:marBottom w:val="0"/>
          <w:divBdr>
            <w:top w:val="none" w:sz="0" w:space="0" w:color="auto"/>
            <w:left w:val="none" w:sz="0" w:space="0" w:color="auto"/>
            <w:bottom w:val="none" w:sz="0" w:space="0" w:color="auto"/>
            <w:right w:val="none" w:sz="0" w:space="0" w:color="auto"/>
          </w:divBdr>
          <w:divsChild>
            <w:div w:id="1397901663">
              <w:marLeft w:val="0"/>
              <w:marRight w:val="0"/>
              <w:marTop w:val="0"/>
              <w:marBottom w:val="0"/>
              <w:divBdr>
                <w:top w:val="none" w:sz="0" w:space="0" w:color="auto"/>
                <w:left w:val="none" w:sz="0" w:space="0" w:color="auto"/>
                <w:bottom w:val="none" w:sz="0" w:space="0" w:color="auto"/>
                <w:right w:val="none" w:sz="0" w:space="0" w:color="auto"/>
              </w:divBdr>
              <w:divsChild>
                <w:div w:id="1454597226">
                  <w:marLeft w:val="0"/>
                  <w:marRight w:val="0"/>
                  <w:marTop w:val="0"/>
                  <w:marBottom w:val="0"/>
                  <w:divBdr>
                    <w:top w:val="single" w:sz="2" w:space="0" w:color="E2E2E2"/>
                    <w:left w:val="single" w:sz="2" w:space="15" w:color="E2E2E2"/>
                    <w:bottom w:val="single" w:sz="2" w:space="0" w:color="E2E2E2"/>
                    <w:right w:val="single" w:sz="2" w:space="15" w:color="E2E2E2"/>
                  </w:divBdr>
                  <w:divsChild>
                    <w:div w:id="558131516">
                      <w:marLeft w:val="0"/>
                      <w:marRight w:val="0"/>
                      <w:marTop w:val="0"/>
                      <w:marBottom w:val="0"/>
                      <w:divBdr>
                        <w:top w:val="none" w:sz="0" w:space="0" w:color="auto"/>
                        <w:left w:val="none" w:sz="0" w:space="0" w:color="auto"/>
                        <w:bottom w:val="none" w:sz="0" w:space="0" w:color="auto"/>
                        <w:right w:val="none" w:sz="0" w:space="0" w:color="auto"/>
                      </w:divBdr>
                      <w:divsChild>
                        <w:div w:id="1798451561">
                          <w:marLeft w:val="0"/>
                          <w:marRight w:val="0"/>
                          <w:marTop w:val="0"/>
                          <w:marBottom w:val="0"/>
                          <w:divBdr>
                            <w:top w:val="none" w:sz="0" w:space="0" w:color="auto"/>
                            <w:left w:val="none" w:sz="0" w:space="0" w:color="auto"/>
                            <w:bottom w:val="none" w:sz="0" w:space="0" w:color="auto"/>
                            <w:right w:val="none" w:sz="0" w:space="0" w:color="auto"/>
                          </w:divBdr>
                          <w:divsChild>
                            <w:div w:id="2026714215">
                              <w:marLeft w:val="0"/>
                              <w:marRight w:val="0"/>
                              <w:marTop w:val="0"/>
                              <w:marBottom w:val="0"/>
                              <w:divBdr>
                                <w:top w:val="single" w:sz="6" w:space="0" w:color="DDDDDD"/>
                                <w:left w:val="single" w:sz="6" w:space="8" w:color="DDDDDD"/>
                                <w:bottom w:val="single" w:sz="6" w:space="8" w:color="DDDDDD"/>
                                <w:right w:val="single" w:sz="6" w:space="8" w:color="DDDDDD"/>
                              </w:divBdr>
                              <w:divsChild>
                                <w:div w:id="943539748">
                                  <w:marLeft w:val="0"/>
                                  <w:marRight w:val="0"/>
                                  <w:marTop w:val="0"/>
                                  <w:marBottom w:val="0"/>
                                  <w:divBdr>
                                    <w:top w:val="none" w:sz="0" w:space="0" w:color="auto"/>
                                    <w:left w:val="none" w:sz="0" w:space="0" w:color="auto"/>
                                    <w:bottom w:val="none" w:sz="0" w:space="0" w:color="auto"/>
                                    <w:right w:val="none" w:sz="0" w:space="0" w:color="auto"/>
                                  </w:divBdr>
                                  <w:divsChild>
                                    <w:div w:id="120150798">
                                      <w:marLeft w:val="0"/>
                                      <w:marRight w:val="0"/>
                                      <w:marTop w:val="0"/>
                                      <w:marBottom w:val="0"/>
                                      <w:divBdr>
                                        <w:top w:val="none" w:sz="0" w:space="0" w:color="auto"/>
                                        <w:left w:val="none" w:sz="0" w:space="0" w:color="auto"/>
                                        <w:bottom w:val="none" w:sz="0" w:space="0" w:color="auto"/>
                                        <w:right w:val="none" w:sz="0" w:space="0" w:color="auto"/>
                                      </w:divBdr>
                                      <w:divsChild>
                                        <w:div w:id="2001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956814">
      <w:bodyDiv w:val="1"/>
      <w:marLeft w:val="0"/>
      <w:marRight w:val="0"/>
      <w:marTop w:val="0"/>
      <w:marBottom w:val="0"/>
      <w:divBdr>
        <w:top w:val="none" w:sz="0" w:space="0" w:color="auto"/>
        <w:left w:val="none" w:sz="0" w:space="0" w:color="auto"/>
        <w:bottom w:val="none" w:sz="0" w:space="0" w:color="auto"/>
        <w:right w:val="none" w:sz="0" w:space="0" w:color="auto"/>
      </w:divBdr>
      <w:divsChild>
        <w:div w:id="284580908">
          <w:marLeft w:val="0"/>
          <w:marRight w:val="0"/>
          <w:marTop w:val="0"/>
          <w:marBottom w:val="0"/>
          <w:divBdr>
            <w:top w:val="none" w:sz="0" w:space="0" w:color="auto"/>
            <w:left w:val="none" w:sz="0" w:space="0" w:color="auto"/>
            <w:bottom w:val="none" w:sz="0" w:space="0" w:color="auto"/>
            <w:right w:val="none" w:sz="0" w:space="0" w:color="auto"/>
          </w:divBdr>
        </w:div>
        <w:div w:id="919020972">
          <w:marLeft w:val="0"/>
          <w:marRight w:val="0"/>
          <w:marTop w:val="0"/>
          <w:marBottom w:val="0"/>
          <w:divBdr>
            <w:top w:val="none" w:sz="0" w:space="0" w:color="auto"/>
            <w:left w:val="none" w:sz="0" w:space="0" w:color="auto"/>
            <w:bottom w:val="none" w:sz="0" w:space="0" w:color="auto"/>
            <w:right w:val="none" w:sz="0" w:space="0" w:color="auto"/>
          </w:divBdr>
        </w:div>
        <w:div w:id="1185167438">
          <w:marLeft w:val="0"/>
          <w:marRight w:val="0"/>
          <w:marTop w:val="0"/>
          <w:marBottom w:val="0"/>
          <w:divBdr>
            <w:top w:val="none" w:sz="0" w:space="0" w:color="auto"/>
            <w:left w:val="none" w:sz="0" w:space="0" w:color="auto"/>
            <w:bottom w:val="none" w:sz="0" w:space="0" w:color="auto"/>
            <w:right w:val="none" w:sz="0" w:space="0" w:color="auto"/>
          </w:divBdr>
        </w:div>
      </w:divsChild>
    </w:div>
    <w:div w:id="1397363234">
      <w:bodyDiv w:val="1"/>
      <w:marLeft w:val="0"/>
      <w:marRight w:val="0"/>
      <w:marTop w:val="0"/>
      <w:marBottom w:val="0"/>
      <w:divBdr>
        <w:top w:val="none" w:sz="0" w:space="0" w:color="auto"/>
        <w:left w:val="none" w:sz="0" w:space="0" w:color="auto"/>
        <w:bottom w:val="none" w:sz="0" w:space="0" w:color="auto"/>
        <w:right w:val="none" w:sz="0" w:space="0" w:color="auto"/>
      </w:divBdr>
    </w:div>
    <w:div w:id="1556358792">
      <w:bodyDiv w:val="1"/>
      <w:marLeft w:val="0"/>
      <w:marRight w:val="0"/>
      <w:marTop w:val="0"/>
      <w:marBottom w:val="0"/>
      <w:divBdr>
        <w:top w:val="none" w:sz="0" w:space="0" w:color="auto"/>
        <w:left w:val="none" w:sz="0" w:space="0" w:color="auto"/>
        <w:bottom w:val="none" w:sz="0" w:space="0" w:color="auto"/>
        <w:right w:val="none" w:sz="0" w:space="0" w:color="auto"/>
      </w:divBdr>
    </w:div>
    <w:div w:id="1630940253">
      <w:bodyDiv w:val="1"/>
      <w:marLeft w:val="0"/>
      <w:marRight w:val="0"/>
      <w:marTop w:val="0"/>
      <w:marBottom w:val="0"/>
      <w:divBdr>
        <w:top w:val="none" w:sz="0" w:space="0" w:color="auto"/>
        <w:left w:val="none" w:sz="0" w:space="0" w:color="auto"/>
        <w:bottom w:val="none" w:sz="0" w:space="0" w:color="auto"/>
        <w:right w:val="none" w:sz="0" w:space="0" w:color="auto"/>
      </w:divBdr>
      <w:divsChild>
        <w:div w:id="541284216">
          <w:marLeft w:val="0"/>
          <w:marRight w:val="0"/>
          <w:marTop w:val="0"/>
          <w:marBottom w:val="0"/>
          <w:divBdr>
            <w:top w:val="none" w:sz="0" w:space="0" w:color="auto"/>
            <w:left w:val="none" w:sz="0" w:space="0" w:color="auto"/>
            <w:bottom w:val="none" w:sz="0" w:space="0" w:color="auto"/>
            <w:right w:val="none" w:sz="0" w:space="0" w:color="auto"/>
          </w:divBdr>
        </w:div>
        <w:div w:id="923688363">
          <w:marLeft w:val="0"/>
          <w:marRight w:val="0"/>
          <w:marTop w:val="0"/>
          <w:marBottom w:val="0"/>
          <w:divBdr>
            <w:top w:val="none" w:sz="0" w:space="0" w:color="auto"/>
            <w:left w:val="none" w:sz="0" w:space="0" w:color="auto"/>
            <w:bottom w:val="none" w:sz="0" w:space="0" w:color="auto"/>
            <w:right w:val="none" w:sz="0" w:space="0" w:color="auto"/>
          </w:divBdr>
        </w:div>
        <w:div w:id="321543159">
          <w:marLeft w:val="0"/>
          <w:marRight w:val="0"/>
          <w:marTop w:val="0"/>
          <w:marBottom w:val="0"/>
          <w:divBdr>
            <w:top w:val="none" w:sz="0" w:space="0" w:color="auto"/>
            <w:left w:val="none" w:sz="0" w:space="0" w:color="auto"/>
            <w:bottom w:val="none" w:sz="0" w:space="0" w:color="auto"/>
            <w:right w:val="none" w:sz="0" w:space="0" w:color="auto"/>
          </w:divBdr>
        </w:div>
        <w:div w:id="1223978693">
          <w:marLeft w:val="0"/>
          <w:marRight w:val="0"/>
          <w:marTop w:val="0"/>
          <w:marBottom w:val="0"/>
          <w:divBdr>
            <w:top w:val="none" w:sz="0" w:space="0" w:color="auto"/>
            <w:left w:val="none" w:sz="0" w:space="0" w:color="auto"/>
            <w:bottom w:val="none" w:sz="0" w:space="0" w:color="auto"/>
            <w:right w:val="none" w:sz="0" w:space="0" w:color="auto"/>
          </w:divBdr>
        </w:div>
        <w:div w:id="537858324">
          <w:marLeft w:val="0"/>
          <w:marRight w:val="0"/>
          <w:marTop w:val="0"/>
          <w:marBottom w:val="0"/>
          <w:divBdr>
            <w:top w:val="none" w:sz="0" w:space="0" w:color="auto"/>
            <w:left w:val="none" w:sz="0" w:space="0" w:color="auto"/>
            <w:bottom w:val="none" w:sz="0" w:space="0" w:color="auto"/>
            <w:right w:val="none" w:sz="0" w:space="0" w:color="auto"/>
          </w:divBdr>
        </w:div>
        <w:div w:id="869148359">
          <w:marLeft w:val="0"/>
          <w:marRight w:val="0"/>
          <w:marTop w:val="0"/>
          <w:marBottom w:val="0"/>
          <w:divBdr>
            <w:top w:val="none" w:sz="0" w:space="0" w:color="auto"/>
            <w:left w:val="none" w:sz="0" w:space="0" w:color="auto"/>
            <w:bottom w:val="none" w:sz="0" w:space="0" w:color="auto"/>
            <w:right w:val="none" w:sz="0" w:space="0" w:color="auto"/>
          </w:divBdr>
        </w:div>
        <w:div w:id="757362698">
          <w:marLeft w:val="0"/>
          <w:marRight w:val="0"/>
          <w:marTop w:val="0"/>
          <w:marBottom w:val="0"/>
          <w:divBdr>
            <w:top w:val="none" w:sz="0" w:space="0" w:color="auto"/>
            <w:left w:val="none" w:sz="0" w:space="0" w:color="auto"/>
            <w:bottom w:val="none" w:sz="0" w:space="0" w:color="auto"/>
            <w:right w:val="none" w:sz="0" w:space="0" w:color="auto"/>
          </w:divBdr>
        </w:div>
        <w:div w:id="1527135469">
          <w:marLeft w:val="0"/>
          <w:marRight w:val="0"/>
          <w:marTop w:val="0"/>
          <w:marBottom w:val="0"/>
          <w:divBdr>
            <w:top w:val="none" w:sz="0" w:space="0" w:color="auto"/>
            <w:left w:val="none" w:sz="0" w:space="0" w:color="auto"/>
            <w:bottom w:val="none" w:sz="0" w:space="0" w:color="auto"/>
            <w:right w:val="none" w:sz="0" w:space="0" w:color="auto"/>
          </w:divBdr>
        </w:div>
        <w:div w:id="1565025240">
          <w:marLeft w:val="0"/>
          <w:marRight w:val="0"/>
          <w:marTop w:val="0"/>
          <w:marBottom w:val="0"/>
          <w:divBdr>
            <w:top w:val="none" w:sz="0" w:space="0" w:color="auto"/>
            <w:left w:val="none" w:sz="0" w:space="0" w:color="auto"/>
            <w:bottom w:val="none" w:sz="0" w:space="0" w:color="auto"/>
            <w:right w:val="none" w:sz="0" w:space="0" w:color="auto"/>
          </w:divBdr>
        </w:div>
        <w:div w:id="1957252434">
          <w:marLeft w:val="0"/>
          <w:marRight w:val="0"/>
          <w:marTop w:val="0"/>
          <w:marBottom w:val="0"/>
          <w:divBdr>
            <w:top w:val="none" w:sz="0" w:space="0" w:color="auto"/>
            <w:left w:val="none" w:sz="0" w:space="0" w:color="auto"/>
            <w:bottom w:val="none" w:sz="0" w:space="0" w:color="auto"/>
            <w:right w:val="none" w:sz="0" w:space="0" w:color="auto"/>
          </w:divBdr>
        </w:div>
        <w:div w:id="1435324045">
          <w:marLeft w:val="0"/>
          <w:marRight w:val="0"/>
          <w:marTop w:val="0"/>
          <w:marBottom w:val="0"/>
          <w:divBdr>
            <w:top w:val="none" w:sz="0" w:space="0" w:color="auto"/>
            <w:left w:val="none" w:sz="0" w:space="0" w:color="auto"/>
            <w:bottom w:val="none" w:sz="0" w:space="0" w:color="auto"/>
            <w:right w:val="none" w:sz="0" w:space="0" w:color="auto"/>
          </w:divBdr>
        </w:div>
        <w:div w:id="279460307">
          <w:marLeft w:val="0"/>
          <w:marRight w:val="0"/>
          <w:marTop w:val="0"/>
          <w:marBottom w:val="0"/>
          <w:divBdr>
            <w:top w:val="none" w:sz="0" w:space="0" w:color="auto"/>
            <w:left w:val="none" w:sz="0" w:space="0" w:color="auto"/>
            <w:bottom w:val="none" w:sz="0" w:space="0" w:color="auto"/>
            <w:right w:val="none" w:sz="0" w:space="0" w:color="auto"/>
          </w:divBdr>
        </w:div>
        <w:div w:id="2119056654">
          <w:marLeft w:val="0"/>
          <w:marRight w:val="0"/>
          <w:marTop w:val="0"/>
          <w:marBottom w:val="0"/>
          <w:divBdr>
            <w:top w:val="none" w:sz="0" w:space="0" w:color="auto"/>
            <w:left w:val="none" w:sz="0" w:space="0" w:color="auto"/>
            <w:bottom w:val="none" w:sz="0" w:space="0" w:color="auto"/>
            <w:right w:val="none" w:sz="0" w:space="0" w:color="auto"/>
          </w:divBdr>
        </w:div>
        <w:div w:id="1255548952">
          <w:marLeft w:val="0"/>
          <w:marRight w:val="0"/>
          <w:marTop w:val="0"/>
          <w:marBottom w:val="0"/>
          <w:divBdr>
            <w:top w:val="none" w:sz="0" w:space="0" w:color="auto"/>
            <w:left w:val="none" w:sz="0" w:space="0" w:color="auto"/>
            <w:bottom w:val="none" w:sz="0" w:space="0" w:color="auto"/>
            <w:right w:val="none" w:sz="0" w:space="0" w:color="auto"/>
          </w:divBdr>
        </w:div>
        <w:div w:id="1010838559">
          <w:marLeft w:val="0"/>
          <w:marRight w:val="0"/>
          <w:marTop w:val="0"/>
          <w:marBottom w:val="0"/>
          <w:divBdr>
            <w:top w:val="none" w:sz="0" w:space="0" w:color="auto"/>
            <w:left w:val="none" w:sz="0" w:space="0" w:color="auto"/>
            <w:bottom w:val="none" w:sz="0" w:space="0" w:color="auto"/>
            <w:right w:val="none" w:sz="0" w:space="0" w:color="auto"/>
          </w:divBdr>
        </w:div>
        <w:div w:id="1175264595">
          <w:marLeft w:val="0"/>
          <w:marRight w:val="0"/>
          <w:marTop w:val="0"/>
          <w:marBottom w:val="0"/>
          <w:divBdr>
            <w:top w:val="none" w:sz="0" w:space="0" w:color="auto"/>
            <w:left w:val="none" w:sz="0" w:space="0" w:color="auto"/>
            <w:bottom w:val="none" w:sz="0" w:space="0" w:color="auto"/>
            <w:right w:val="none" w:sz="0" w:space="0" w:color="auto"/>
          </w:divBdr>
        </w:div>
        <w:div w:id="304894061">
          <w:marLeft w:val="0"/>
          <w:marRight w:val="0"/>
          <w:marTop w:val="0"/>
          <w:marBottom w:val="0"/>
          <w:divBdr>
            <w:top w:val="none" w:sz="0" w:space="0" w:color="auto"/>
            <w:left w:val="none" w:sz="0" w:space="0" w:color="auto"/>
            <w:bottom w:val="none" w:sz="0" w:space="0" w:color="auto"/>
            <w:right w:val="none" w:sz="0" w:space="0" w:color="auto"/>
          </w:divBdr>
        </w:div>
        <w:div w:id="2002614341">
          <w:marLeft w:val="0"/>
          <w:marRight w:val="0"/>
          <w:marTop w:val="0"/>
          <w:marBottom w:val="0"/>
          <w:divBdr>
            <w:top w:val="none" w:sz="0" w:space="0" w:color="auto"/>
            <w:left w:val="none" w:sz="0" w:space="0" w:color="auto"/>
            <w:bottom w:val="none" w:sz="0" w:space="0" w:color="auto"/>
            <w:right w:val="none" w:sz="0" w:space="0" w:color="auto"/>
          </w:divBdr>
        </w:div>
        <w:div w:id="352923408">
          <w:marLeft w:val="0"/>
          <w:marRight w:val="0"/>
          <w:marTop w:val="0"/>
          <w:marBottom w:val="0"/>
          <w:divBdr>
            <w:top w:val="none" w:sz="0" w:space="0" w:color="auto"/>
            <w:left w:val="none" w:sz="0" w:space="0" w:color="auto"/>
            <w:bottom w:val="none" w:sz="0" w:space="0" w:color="auto"/>
            <w:right w:val="none" w:sz="0" w:space="0" w:color="auto"/>
          </w:divBdr>
        </w:div>
        <w:div w:id="525094082">
          <w:marLeft w:val="0"/>
          <w:marRight w:val="0"/>
          <w:marTop w:val="0"/>
          <w:marBottom w:val="0"/>
          <w:divBdr>
            <w:top w:val="none" w:sz="0" w:space="0" w:color="auto"/>
            <w:left w:val="none" w:sz="0" w:space="0" w:color="auto"/>
            <w:bottom w:val="none" w:sz="0" w:space="0" w:color="auto"/>
            <w:right w:val="none" w:sz="0" w:space="0" w:color="auto"/>
          </w:divBdr>
        </w:div>
        <w:div w:id="1394618206">
          <w:marLeft w:val="0"/>
          <w:marRight w:val="0"/>
          <w:marTop w:val="0"/>
          <w:marBottom w:val="0"/>
          <w:divBdr>
            <w:top w:val="none" w:sz="0" w:space="0" w:color="auto"/>
            <w:left w:val="none" w:sz="0" w:space="0" w:color="auto"/>
            <w:bottom w:val="none" w:sz="0" w:space="0" w:color="auto"/>
            <w:right w:val="none" w:sz="0" w:space="0" w:color="auto"/>
          </w:divBdr>
        </w:div>
        <w:div w:id="1273829842">
          <w:marLeft w:val="0"/>
          <w:marRight w:val="0"/>
          <w:marTop w:val="0"/>
          <w:marBottom w:val="0"/>
          <w:divBdr>
            <w:top w:val="none" w:sz="0" w:space="0" w:color="auto"/>
            <w:left w:val="none" w:sz="0" w:space="0" w:color="auto"/>
            <w:bottom w:val="none" w:sz="0" w:space="0" w:color="auto"/>
            <w:right w:val="none" w:sz="0" w:space="0" w:color="auto"/>
          </w:divBdr>
        </w:div>
        <w:div w:id="377170124">
          <w:marLeft w:val="0"/>
          <w:marRight w:val="0"/>
          <w:marTop w:val="0"/>
          <w:marBottom w:val="0"/>
          <w:divBdr>
            <w:top w:val="none" w:sz="0" w:space="0" w:color="auto"/>
            <w:left w:val="none" w:sz="0" w:space="0" w:color="auto"/>
            <w:bottom w:val="none" w:sz="0" w:space="0" w:color="auto"/>
            <w:right w:val="none" w:sz="0" w:space="0" w:color="auto"/>
          </w:divBdr>
        </w:div>
        <w:div w:id="731582443">
          <w:marLeft w:val="0"/>
          <w:marRight w:val="0"/>
          <w:marTop w:val="0"/>
          <w:marBottom w:val="0"/>
          <w:divBdr>
            <w:top w:val="none" w:sz="0" w:space="0" w:color="auto"/>
            <w:left w:val="none" w:sz="0" w:space="0" w:color="auto"/>
            <w:bottom w:val="none" w:sz="0" w:space="0" w:color="auto"/>
            <w:right w:val="none" w:sz="0" w:space="0" w:color="auto"/>
          </w:divBdr>
        </w:div>
        <w:div w:id="702948812">
          <w:marLeft w:val="0"/>
          <w:marRight w:val="0"/>
          <w:marTop w:val="0"/>
          <w:marBottom w:val="0"/>
          <w:divBdr>
            <w:top w:val="none" w:sz="0" w:space="0" w:color="auto"/>
            <w:left w:val="none" w:sz="0" w:space="0" w:color="auto"/>
            <w:bottom w:val="none" w:sz="0" w:space="0" w:color="auto"/>
            <w:right w:val="none" w:sz="0" w:space="0" w:color="auto"/>
          </w:divBdr>
        </w:div>
        <w:div w:id="359673688">
          <w:marLeft w:val="0"/>
          <w:marRight w:val="0"/>
          <w:marTop w:val="0"/>
          <w:marBottom w:val="0"/>
          <w:divBdr>
            <w:top w:val="none" w:sz="0" w:space="0" w:color="auto"/>
            <w:left w:val="none" w:sz="0" w:space="0" w:color="auto"/>
            <w:bottom w:val="none" w:sz="0" w:space="0" w:color="auto"/>
            <w:right w:val="none" w:sz="0" w:space="0" w:color="auto"/>
          </w:divBdr>
        </w:div>
        <w:div w:id="1235355514">
          <w:marLeft w:val="0"/>
          <w:marRight w:val="0"/>
          <w:marTop w:val="0"/>
          <w:marBottom w:val="0"/>
          <w:divBdr>
            <w:top w:val="none" w:sz="0" w:space="0" w:color="auto"/>
            <w:left w:val="none" w:sz="0" w:space="0" w:color="auto"/>
            <w:bottom w:val="none" w:sz="0" w:space="0" w:color="auto"/>
            <w:right w:val="none" w:sz="0" w:space="0" w:color="auto"/>
          </w:divBdr>
        </w:div>
        <w:div w:id="1524705250">
          <w:marLeft w:val="0"/>
          <w:marRight w:val="0"/>
          <w:marTop w:val="0"/>
          <w:marBottom w:val="0"/>
          <w:divBdr>
            <w:top w:val="none" w:sz="0" w:space="0" w:color="auto"/>
            <w:left w:val="none" w:sz="0" w:space="0" w:color="auto"/>
            <w:bottom w:val="none" w:sz="0" w:space="0" w:color="auto"/>
            <w:right w:val="none" w:sz="0" w:space="0" w:color="auto"/>
          </w:divBdr>
        </w:div>
        <w:div w:id="526451587">
          <w:marLeft w:val="0"/>
          <w:marRight w:val="0"/>
          <w:marTop w:val="0"/>
          <w:marBottom w:val="0"/>
          <w:divBdr>
            <w:top w:val="none" w:sz="0" w:space="0" w:color="auto"/>
            <w:left w:val="none" w:sz="0" w:space="0" w:color="auto"/>
            <w:bottom w:val="none" w:sz="0" w:space="0" w:color="auto"/>
            <w:right w:val="none" w:sz="0" w:space="0" w:color="auto"/>
          </w:divBdr>
        </w:div>
        <w:div w:id="1007026527">
          <w:marLeft w:val="0"/>
          <w:marRight w:val="0"/>
          <w:marTop w:val="0"/>
          <w:marBottom w:val="0"/>
          <w:divBdr>
            <w:top w:val="none" w:sz="0" w:space="0" w:color="auto"/>
            <w:left w:val="none" w:sz="0" w:space="0" w:color="auto"/>
            <w:bottom w:val="none" w:sz="0" w:space="0" w:color="auto"/>
            <w:right w:val="none" w:sz="0" w:space="0" w:color="auto"/>
          </w:divBdr>
        </w:div>
        <w:div w:id="405423815">
          <w:marLeft w:val="0"/>
          <w:marRight w:val="0"/>
          <w:marTop w:val="0"/>
          <w:marBottom w:val="0"/>
          <w:divBdr>
            <w:top w:val="none" w:sz="0" w:space="0" w:color="auto"/>
            <w:left w:val="none" w:sz="0" w:space="0" w:color="auto"/>
            <w:bottom w:val="none" w:sz="0" w:space="0" w:color="auto"/>
            <w:right w:val="none" w:sz="0" w:space="0" w:color="auto"/>
          </w:divBdr>
        </w:div>
      </w:divsChild>
    </w:div>
    <w:div w:id="1739985307">
      <w:bodyDiv w:val="1"/>
      <w:marLeft w:val="0"/>
      <w:marRight w:val="0"/>
      <w:marTop w:val="0"/>
      <w:marBottom w:val="0"/>
      <w:divBdr>
        <w:top w:val="none" w:sz="0" w:space="0" w:color="auto"/>
        <w:left w:val="none" w:sz="0" w:space="0" w:color="auto"/>
        <w:bottom w:val="none" w:sz="0" w:space="0" w:color="auto"/>
        <w:right w:val="none" w:sz="0" w:space="0" w:color="auto"/>
      </w:divBdr>
    </w:div>
    <w:div w:id="1756171558">
      <w:bodyDiv w:val="1"/>
      <w:marLeft w:val="0"/>
      <w:marRight w:val="0"/>
      <w:marTop w:val="0"/>
      <w:marBottom w:val="0"/>
      <w:divBdr>
        <w:top w:val="none" w:sz="0" w:space="0" w:color="auto"/>
        <w:left w:val="none" w:sz="0" w:space="0" w:color="auto"/>
        <w:bottom w:val="none" w:sz="0" w:space="0" w:color="auto"/>
        <w:right w:val="none" w:sz="0" w:space="0" w:color="auto"/>
      </w:divBdr>
    </w:div>
    <w:div w:id="18756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B39B-3A50-4B8D-9A48-EC53EEFB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21951</Words>
  <Characters>120733</Characters>
  <Application>Microsoft Office Word</Application>
  <DocSecurity>0</DocSecurity>
  <Lines>1006</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Lizet García Villafranco</dc:creator>
  <cp:lastModifiedBy>Liliana Cabrera Moscoso</cp:lastModifiedBy>
  <cp:revision>2</cp:revision>
  <cp:lastPrinted>2017-01-18T19:54:00Z</cp:lastPrinted>
  <dcterms:created xsi:type="dcterms:W3CDTF">2021-02-26T21:52:00Z</dcterms:created>
  <dcterms:modified xsi:type="dcterms:W3CDTF">2021-02-26T21:52:00Z</dcterms:modified>
</cp:coreProperties>
</file>